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Language-conditioned biases in AI threaten European security and strategic stability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AI systems are already producing different factual accounts depending on the language used to query them, a divergence that poses strategic risks for European security as states and publics come to rely on large language models for information. According to the European Leadership Network analysis, tests of leading models showed systematic, language-conditioned outputs: some non‑Western models returned Kremlin-aligned narratives when prompted in Russian while offering different, more accurate answers in English or Ukrainian. Industry and regulatory developments in Europe underscore how such distortions intersect with broader efforts to govern AI. </w:t>
      </w:r>
      <w:hyperlink r:id="rId9">
        <w:r>
          <w:rPr>
            <w:color w:val="0000EE"/>
            <w:u w:val="single"/>
          </w:rPr>
          <w:t>[2]</w:t>
        </w:r>
      </w:hyperlink>
      <w:r>
        <w:t>,</w:t>
      </w:r>
      <w:hyperlink r:id="rId10">
        <w:r>
          <w:rPr>
            <w:color w:val="0000EE"/>
            <w:u w:val="single"/>
          </w:rPr>
          <w:t>[7]</w:t>
        </w:r>
      </w:hyperlink>
      <w:r/>
    </w:p>
    <w:p>
      <w:r/>
      <w:r>
        <w:t xml:space="preserve">The research applied a reproducible audit to six prominent models, probing established disinformation themes about the Russia–Ukraine war. Results described in the study showed Western models generally provided accurate responses but sometimes introduced “bothsides” framings that treated well‑documented facts as matters of perspective, a tendency that can manufacture doubt. Non‑Western services, by contrast, frequently endorsed state narratives in particular language contexts or applied selective refusals when responding outside those languages. These patterns, the author argues, amount to vectors for cognitive warfare. </w:t>
      </w:r>
      <w:hyperlink r:id="rId9">
        <w:r>
          <w:rPr>
            <w:color w:val="0000EE"/>
            <w:u w:val="single"/>
          </w:rPr>
          <w:t>[2]</w:t>
        </w:r>
      </w:hyperlink>
      <w:r>
        <w:t>,</w:t>
      </w:r>
      <w:hyperlink r:id="rId11">
        <w:r>
          <w:rPr>
            <w:color w:val="0000EE"/>
            <w:u w:val="single"/>
          </w:rPr>
          <w:t>[6]</w:t>
        </w:r>
      </w:hyperlink>
      <w:r/>
    </w:p>
    <w:p>
      <w:r/>
      <w:r>
        <w:t xml:space="preserve">Technical explanations for the phenomenon point to the way multilingual systems can operate across fragmented language domains. The European Leadership Network’s methodology makes such divergences measurable and thus actionable, while academic proposals advocate ontologies, assurance cases and factsheets as tools to document model behaviour and regulatory compliance. Those frameworks aim to make language‑conditioned biases visible to engineers, auditors and policymakers so that mitigation measures can be designed and evaluated. </w:t>
      </w:r>
      <w:hyperlink r:id="rId11">
        <w:r>
          <w:rPr>
            <w:color w:val="0000EE"/>
            <w:u w:val="single"/>
          </w:rPr>
          <w:t>[6]</w:t>
        </w:r>
      </w:hyperlink>
      <w:r>
        <w:t>,</w:t>
      </w:r>
      <w:hyperlink r:id="rId9">
        <w:r>
          <w:rPr>
            <w:color w:val="0000EE"/>
            <w:u w:val="single"/>
          </w:rPr>
          <w:t>[2]</w:t>
        </w:r>
      </w:hyperlink>
      <w:r/>
    </w:p>
    <w:p>
      <w:r/>
      <w:r>
        <w:t xml:space="preserve">European cyber‑security bodies have already flagged related hazards. CERT‑EU guidance warns that generative models can propagate inaccuracies and embedded biases, and stresses the need for transparent content acquisition and robust governance in EU information systems. That warning aligns with the audit’s finding that language‑specific distortions are not mere technical glitches but risks to information integrity. </w:t>
      </w:r>
      <w:hyperlink r:id="rId9">
        <w:r>
          <w:rPr>
            <w:color w:val="0000EE"/>
            <w:u w:val="single"/>
          </w:rPr>
          <w:t>[2]</w:t>
        </w:r>
      </w:hyperlink>
      <w:r/>
    </w:p>
    <w:p>
      <w:r/>
      <w:r>
        <w:t xml:space="preserve">The policy response in Europe is unfolding against a contested international debate about regulation. U.S. voices at recent summits have warned against heavy‑handed rules, arguing they could stifle innovation, while the EU has moved to create guardrails: the AI Act entered into force in August 2024 and a voluntary code of practice aims to help firms comply with requirements on transparency, copyright and safety. Those instruments, however, may not by themselves address the strategic problem that arises when geographic restrictions on Western AI create information vacuums filled by alternatives that are tuned to local state narratives. Policymakers must weigh regulatory stringency against information‑security objectives. </w:t>
      </w:r>
      <w:hyperlink r:id="rId12">
        <w:r>
          <w:rPr>
            <w:color w:val="0000EE"/>
            <w:u w:val="single"/>
          </w:rPr>
          <w:t>[3]</w:t>
        </w:r>
      </w:hyperlink>
      <w:r>
        <w:t>,</w:t>
      </w:r>
      <w:hyperlink r:id="rId13">
        <w:r>
          <w:rPr>
            <w:color w:val="0000EE"/>
            <w:u w:val="single"/>
          </w:rPr>
          <w:t>[5]</w:t>
        </w:r>
      </w:hyperlink>
      <w:r>
        <w:t>,</w:t>
      </w:r>
      <w:hyperlink r:id="rId10">
        <w:r>
          <w:rPr>
            <w:color w:val="0000EE"/>
            <w:u w:val="single"/>
          </w:rPr>
          <w:t>[7]</w:t>
        </w:r>
      </w:hyperlink>
      <w:r/>
    </w:p>
    <w:p>
      <w:r/>
      <w:r>
        <w:t xml:space="preserve">Operational realities compound the stakes. Reports from the private sector show AI is also reshaping software supply chains and security: a study found AI‑generated code contributed to a significant fraction of breaches and is increasingly present in production development, a reminder that vulnerabilities created or amplified by AI span technical and cognitive domains. In contested information environments, that combination of technical fragility and narrative skew raises the prospect that adversaries could exploit both attack surfaces and persuasion vectors. </w:t>
      </w:r>
      <w:hyperlink r:id="rId14">
        <w:r>
          <w:rPr>
            <w:color w:val="0000EE"/>
            <w:u w:val="single"/>
          </w:rPr>
          <w:t>[4]</w:t>
        </w:r>
      </w:hyperlink>
      <w:r>
        <w:t>,</w:t>
      </w:r>
      <w:hyperlink r:id="rId9">
        <w:r>
          <w:rPr>
            <w:color w:val="0000EE"/>
            <w:u w:val="single"/>
          </w:rPr>
          <w:t>[2]</w:t>
        </w:r>
      </w:hyperlink>
      <w:r/>
    </w:p>
    <w:p>
      <w:r/>
      <w:r>
        <w:t xml:space="preserve">The audit’s authors propose three practical steps for Europe: institute continuous, independent narrative tracking across models; engage openly with Western developers to reduce “false balance” that treats established facts as debatable; and reassess access policies that unintentionally cede influence to systems aligned with adversarial state media. Those recommendations sit alongside existing regulatory tools, the AI Act and emerging assurance frameworks, but they emphasise capacity building, funded independent auditing and a shared epistemic baseline so that models can distinguish demonstrable facts from legitimate political debate. </w:t>
      </w:r>
      <w:hyperlink r:id="rId15">
        <w:r>
          <w:rPr>
            <w:color w:val="0000EE"/>
            <w:u w:val="single"/>
          </w:rPr>
          <w:t>[1]</w:t>
        </w:r>
      </w:hyperlink>
      <w:r>
        <w:t>,</w:t>
      </w:r>
      <w:hyperlink r:id="rId10">
        <w:r>
          <w:rPr>
            <w:color w:val="0000EE"/>
            <w:u w:val="single"/>
          </w:rPr>
          <w:t>[7]</w:t>
        </w:r>
      </w:hyperlink>
      <w:r>
        <w:t>,</w:t>
      </w:r>
      <w:hyperlink r:id="rId11">
        <w:r>
          <w:rPr>
            <w:color w:val="0000EE"/>
            <w:u w:val="single"/>
          </w:rPr>
          <w:t>[6]</w:t>
        </w:r>
      </w:hyperlink>
      <w:r/>
    </w:p>
    <w:p>
      <w:r/>
      <w:r>
        <w:t xml:space="preserve">If governments accept that AI is becoming infrastructure for civic reality, urgent investment will be needed to monitor and mitigate language‑dependent distortion before it becomes a persistent escalation factor in crises. According to the European Leadership Network analysis, the choice for Europe is not whether to regulate AI but how to align technical safeguards, auditing capacity and foreign‑policy strategy so that multilingual models do not become instruments of cognitive warfare. </w:t>
      </w:r>
      <w:hyperlink r:id="rId15">
        <w:r>
          <w:rPr>
            <w:color w:val="0000EE"/>
            <w:u w:val="single"/>
          </w:rPr>
          <w:t>[1]</w:t>
        </w:r>
      </w:hyperlink>
      <w:r>
        <w:t>,</w:t>
      </w:r>
      <w:hyperlink r:id="rId9">
        <w:r>
          <w:rPr>
            <w:color w:val="0000EE"/>
            <w:u w:val="single"/>
          </w:rPr>
          <w:t>[2]</w:t>
        </w:r>
      </w:hyperlink>
      <w:r/>
    </w:p>
    <w:p>
      <w:pPr>
        <w:pStyle w:val="Heading3"/>
      </w:pPr>
      <w:r>
        <w:t>Source Reference Map</w:t>
      </w:r>
      <w:r/>
    </w:p>
    <w:p>
      <w:r/>
      <w:r>
        <w:rPr>
          <w:b/>
        </w:rPr>
        <w:t>Inspired by headline at:</w:t>
      </w:r>
      <w:r>
        <w:t xml:space="preserve"> </w:t>
      </w:r>
      <w:hyperlink r:id="rId15">
        <w:r>
          <w:rPr>
            <w:color w:val="0000EE"/>
            <w:u w:val="single"/>
          </w:rPr>
          <w:t>[1]</w:t>
        </w:r>
      </w:hyperlink>
      <w:r/>
    </w:p>
    <w:p>
      <w:r/>
      <w:r>
        <w:rPr>
          <w:b/>
        </w:rPr>
        <w:t>Sources by paragraph:</w:t>
      </w:r>
      <w:r>
        <w:t xml:space="preserve">- Paragraph 1: </w:t>
      </w:r>
      <w:hyperlink r:id="rId15">
        <w:r>
          <w:rPr>
            <w:color w:val="0000EE"/>
            <w:u w:val="single"/>
          </w:rPr>
          <w:t>[1]</w:t>
        </w:r>
      </w:hyperlink>
      <w:r>
        <w:t xml:space="preserve">, </w:t>
      </w:r>
      <w:hyperlink r:id="rId10">
        <w:r>
          <w:rPr>
            <w:color w:val="0000EE"/>
            <w:u w:val="single"/>
          </w:rPr>
          <w:t>[7]</w:t>
        </w:r>
      </w:hyperlink>
      <w:r>
        <w:t xml:space="preserve">- Paragraph 2: </w:t>
      </w:r>
      <w:hyperlink r:id="rId15">
        <w:r>
          <w:rPr>
            <w:color w:val="0000EE"/>
            <w:u w:val="single"/>
          </w:rPr>
          <w:t>[1]</w:t>
        </w:r>
      </w:hyperlink>
      <w:r>
        <w:t xml:space="preserve">, </w:t>
      </w:r>
      <w:hyperlink r:id="rId9">
        <w:r>
          <w:rPr>
            <w:color w:val="0000EE"/>
            <w:u w:val="single"/>
          </w:rPr>
          <w:t>[2]</w:t>
        </w:r>
      </w:hyperlink>
      <w:r>
        <w:t xml:space="preserve">- Paragraph 3: </w:t>
      </w:r>
      <w:hyperlink r:id="rId11">
        <w:r>
          <w:rPr>
            <w:color w:val="0000EE"/>
            <w:u w:val="single"/>
          </w:rPr>
          <w:t>[6]</w:t>
        </w:r>
      </w:hyperlink>
      <w:r>
        <w:t xml:space="preserve">, </w:t>
      </w:r>
      <w:hyperlink r:id="rId9">
        <w:r>
          <w:rPr>
            <w:color w:val="0000EE"/>
            <w:u w:val="single"/>
          </w:rPr>
          <w:t>[2]</w:t>
        </w:r>
      </w:hyperlink>
      <w:r>
        <w:t xml:space="preserve">- Paragraph 4: </w:t>
      </w:r>
      <w:hyperlink r:id="rId9">
        <w:r>
          <w:rPr>
            <w:color w:val="0000EE"/>
            <w:u w:val="single"/>
          </w:rPr>
          <w:t>[2]</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w:t>
      </w:r>
      <w:hyperlink r:id="rId10">
        <w:r>
          <w:rPr>
            <w:color w:val="0000EE"/>
            <w:u w:val="single"/>
          </w:rPr>
          <w:t>[7]</w:t>
        </w:r>
      </w:hyperlink>
      <w:r>
        <w:t xml:space="preserve">- Paragraph 6: </w:t>
      </w:r>
      <w:hyperlink r:id="rId14">
        <w:r>
          <w:rPr>
            <w:color w:val="0000EE"/>
            <w:u w:val="single"/>
          </w:rPr>
          <w:t>[4]</w:t>
        </w:r>
      </w:hyperlink>
      <w:r>
        <w:t xml:space="preserve">, </w:t>
      </w:r>
      <w:hyperlink r:id="rId9">
        <w:r>
          <w:rPr>
            <w:color w:val="0000EE"/>
            <w:u w:val="single"/>
          </w:rPr>
          <w:t>[2]</w:t>
        </w:r>
      </w:hyperlink>
      <w:r>
        <w:t xml:space="preserve">- Paragraph 7: </w:t>
      </w:r>
      <w:hyperlink r:id="rId15">
        <w:r>
          <w:rPr>
            <w:color w:val="0000EE"/>
            <w:u w:val="single"/>
          </w:rPr>
          <w:t>[1]</w:t>
        </w:r>
      </w:hyperlink>
      <w:r>
        <w:t xml:space="preserve">, </w:t>
      </w:r>
      <w:hyperlink r:id="rId10">
        <w:r>
          <w:rPr>
            <w:color w:val="0000EE"/>
            <w:u w:val="single"/>
          </w:rPr>
          <w:t>[7]</w:t>
        </w:r>
      </w:hyperlink>
      <w:r>
        <w:t xml:space="preserve">, </w:t>
      </w:r>
      <w:hyperlink r:id="rId11">
        <w:r>
          <w:rPr>
            <w:color w:val="0000EE"/>
            <w:u w:val="single"/>
          </w:rPr>
          <w:t>[6]</w:t>
        </w:r>
      </w:hyperlink>
      <w:r>
        <w:t xml:space="preserve">- Paragraph 8: </w:t>
      </w:r>
      <w:hyperlink r:id="rId15">
        <w:r>
          <w:rPr>
            <w:color w:val="0000EE"/>
            <w:u w:val="single"/>
          </w:rPr>
          <w:t>[1]</w:t>
        </w:r>
      </w:hyperlink>
      <w:r>
        <w:t xml:space="preserve">, </w:t>
      </w:r>
      <w:hyperlink r:id="rId9">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5">
        <w:r>
          <w:rPr>
            <w:color w:val="0000EE"/>
            <w:u w:val="single"/>
          </w:rPr>
          <w:t>https://europeanleadershipnetwork.org/commentary/the-ai-lens-of-cognitive-warfare-why-llms-language-bias-is-a-security-risk/</w:t>
        </w:r>
      </w:hyperlink>
      <w:r>
        <w:t xml:space="preserve"> - Please view link - unable to able to access data</w:t>
      </w:r>
      <w:r/>
    </w:p>
    <w:p>
      <w:pPr>
        <w:pStyle w:val="ListNumber"/>
        <w:spacing w:line="240" w:lineRule="auto"/>
        <w:ind w:left="720"/>
      </w:pPr>
      <w:r/>
      <w:hyperlink r:id="rId9">
        <w:r>
          <w:rPr>
            <w:color w:val="0000EE"/>
            <w:u w:val="single"/>
          </w:rPr>
          <w:t>https://cert.europa.eu/publications/security-guidance/security-guidance-23-002---potential-impact-and-risks-of-generative-ai-in-euibas/</w:t>
        </w:r>
      </w:hyperlink>
      <w:r>
        <w:t xml:space="preserve"> - This CERT-EU guidance document examines the potential impacts and risks associated with generative AI in European Union Information Systems (EUIBAs). It highlights concerns such as copyright violations, the dissemination of false or inaccurate information, and the propagation of biases within AI-generated content. The document underscores the necessity for robust and transparent content acquisition policies to mitigate these risks and ensure the integrity of AI systems within the EU.</w:t>
      </w:r>
      <w:r/>
    </w:p>
    <w:p>
      <w:pPr>
        <w:pStyle w:val="ListNumber"/>
        <w:spacing w:line="240" w:lineRule="auto"/>
        <w:ind w:left="720"/>
      </w:pPr>
      <w:r/>
      <w:hyperlink r:id="rId12">
        <w:r>
          <w:rPr>
            <w:color w:val="0000EE"/>
            <w:u w:val="single"/>
          </w:rPr>
          <w:t>https://apnews.com/article/1d7826affdcdb76c580c0558af8d68d2</w:t>
        </w:r>
      </w:hyperlink>
      <w:r>
        <w:t xml:space="preserve"> - In a speech at the Paris AI summit, U.S. Vice President JD Vance criticised what he termed 'excessive regulation' of artificial intelligence, particularly in Europe. He argued that stringent AI laws could hinder innovation and contrasted the U.S. approach, which favours minimal regulation to foster technological advancement. Vance's remarks highlight the global debate over balancing AI development with regulatory oversight.</w:t>
      </w:r>
      <w:r/>
    </w:p>
    <w:p>
      <w:pPr>
        <w:pStyle w:val="ListNumber"/>
        <w:spacing w:line="240" w:lineRule="auto"/>
        <w:ind w:left="720"/>
      </w:pPr>
      <w:r/>
      <w:hyperlink r:id="rId14">
        <w:r>
          <w:rPr>
            <w:color w:val="0000EE"/>
            <w:u w:val="single"/>
          </w:rPr>
          <w:t>https://www.itpro.com/software/development/ai-generated-code-is-now-the-cause-of-one-in-five-breaches-but-developers-and-security-leaders-alike-are-convinced-the-technology-will-come-good-eventually</w:t>
        </w:r>
      </w:hyperlink>
      <w:r>
        <w:t xml:space="preserve"> - A report from Aikido reveals that AI-generated code is responsible for 20% of major security breaches. Despite this, 69% of developers and security professionals acknowledge serious vulnerabilities in such code. The study also indicates that AI tools currently generate 24% of production code, with usage higher in the US (29%) than in Europe (21%).</w:t>
      </w:r>
      <w:r/>
    </w:p>
    <w:p>
      <w:pPr>
        <w:pStyle w:val="ListNumber"/>
        <w:spacing w:line="240" w:lineRule="auto"/>
        <w:ind w:left="720"/>
      </w:pPr>
      <w:r/>
      <w:hyperlink r:id="rId13">
        <w:r>
          <w:rPr>
            <w:color w:val="0000EE"/>
            <w:u w:val="single"/>
          </w:rPr>
          <w:t>https://apnews.com/article/a3df6a1a8789eea7fcd17bffc750e291</w:t>
        </w:r>
      </w:hyperlink>
      <w:r>
        <w:t xml:space="preserve"> - The European Union has introduced a voluntary code of practice for general-purpose artificial intelligence to assist businesses in complying with the bloc's AI Act. The code focuses on transparency, copyright protections, and the safety and security of advanced AI systems. While the initiative aims to balance innovation with safety, it has faced criticism for potentially being overly burdensome and complex.</w:t>
      </w:r>
      <w:r/>
    </w:p>
    <w:p>
      <w:pPr>
        <w:pStyle w:val="ListNumber"/>
        <w:spacing w:line="240" w:lineRule="auto"/>
        <w:ind w:left="720"/>
      </w:pPr>
      <w:r/>
      <w:hyperlink r:id="rId11">
        <w:r>
          <w:rPr>
            <w:color w:val="0000EE"/>
            <w:u w:val="single"/>
          </w:rPr>
          <w:t>https://arxiv.org/abs/2410.05306</w:t>
        </w:r>
      </w:hyperlink>
      <w:r>
        <w:t xml:space="preserve"> - This research paper presents a framework using ontologies, assurance cases, and factsheets to support engineers and stakeholders in understanding and documenting AI system compliance and security regarding adversarial robustness. The approach aims to ensure that large language models (LLMs) adhere to regulatory standards and are equipped to counter potential threats, addressing challenges in implementing the European Union's Artificial Intelligence Act.</w:t>
      </w:r>
      <w:r/>
    </w:p>
    <w:p>
      <w:pPr>
        <w:pStyle w:val="ListNumber"/>
        <w:spacing w:line="240" w:lineRule="auto"/>
        <w:ind w:left="720"/>
      </w:pPr>
      <w:r/>
      <w:hyperlink r:id="rId10">
        <w:r>
          <w:rPr>
            <w:color w:val="0000EE"/>
            <w:u w:val="single"/>
          </w:rPr>
          <w:t>https://en.wikipedia.org/wiki/Artificial_Intelligence_Act</w:t>
        </w:r>
      </w:hyperlink>
      <w:r>
        <w:t xml:space="preserve"> - The Artificial Intelligence Act (AI Act) is a European Union regulation concerning artificial intelligence. It establishes a common regulatory and legal framework for AI within the EU, covering most AI systems across various sectors. The regulation entered into force on 1 August 2024, with provisions that will be implemented gradually over the following 6 to 36 months.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ert.europa.eu/publications/security-guidance/security-guidance-23-002---potential-impact-and-risks-of-generative-ai-in-euibas/" TargetMode="External"/><Relationship Id="rId10" Type="http://schemas.openxmlformats.org/officeDocument/2006/relationships/hyperlink" Target="https://en.wikipedia.org/wiki/Artificial_Intelligence_Act" TargetMode="External"/><Relationship Id="rId11" Type="http://schemas.openxmlformats.org/officeDocument/2006/relationships/hyperlink" Target="https://arxiv.org/abs/2410.05306" TargetMode="External"/><Relationship Id="rId12" Type="http://schemas.openxmlformats.org/officeDocument/2006/relationships/hyperlink" Target="https://apnews.com/article/1d7826affdcdb76c580c0558af8d68d2" TargetMode="External"/><Relationship Id="rId13" Type="http://schemas.openxmlformats.org/officeDocument/2006/relationships/hyperlink" Target="https://apnews.com/article/a3df6a1a8789eea7fcd17bffc750e291" TargetMode="External"/><Relationship Id="rId14" Type="http://schemas.openxmlformats.org/officeDocument/2006/relationships/hyperlink" Target="https://www.itpro.com/software/development/ai-generated-code-is-now-the-cause-of-one-in-five-breaches-but-developers-and-security-leaders-alike-are-convinced-the-technology-will-come-good-eventually" TargetMode="External"/><Relationship Id="rId15" Type="http://schemas.openxmlformats.org/officeDocument/2006/relationships/hyperlink" Target="https://europeanleadershipnetwork.org/commentary/the-ai-lens-of-cognitive-warfare-why-llms-language-bias-is-a-security-ri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