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Enterprises adopt responsible AI with human oversight to boost efficiency and compliance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Artificial intelligence has moved from boardroom speculation to practical deployment in many enterprises, but the discussion has shifted: leaders are increasingly focused on how AI can enhance routine operations while preserving human oversight rather than on wholesale workforce replacement. According to reporting on the sector, this pragmatic tone reflects the priorities of organisations that must balance efficiency gains with regulatory and ethical constraints. </w:t>
      </w:r>
      <w:hyperlink r:id="rId9">
        <w:r>
          <w:rPr>
            <w:color w:val="0000EE"/>
            <w:u w:val="single"/>
          </w:rPr>
          <w:t>[2]</w:t>
        </w:r>
      </w:hyperlink>
      <w:hyperlink r:id="rId10">
        <w:r>
          <w:rPr>
            <w:color w:val="0000EE"/>
            <w:u w:val="single"/>
          </w:rPr>
          <w:t>[3]</w:t>
        </w:r>
      </w:hyperlink>
      <w:r/>
    </w:p>
    <w:p>
      <w:r/>
      <w:r>
        <w:t xml:space="preserve">Early hype promised dramatic headcount reductions, yet evidence from both industry commentary and academic research suggests a more nuanced trajectory. Studies indicate AI is likely to assume repetitive, data-heavy tasks while humans retain responsibility for ambiguous or high‑stakes judgements, prompting firms to reconsider where automation ends and human decision-making begins. </w:t>
      </w:r>
      <w:hyperlink r:id="rId9">
        <w:r>
          <w:rPr>
            <w:color w:val="0000EE"/>
            <w:u w:val="single"/>
          </w:rPr>
          <w:t>[2]</w:t>
        </w:r>
      </w:hyperlink>
      <w:hyperlink r:id="rId11">
        <w:r>
          <w:rPr>
            <w:color w:val="0000EE"/>
            <w:u w:val="single"/>
          </w:rPr>
          <w:t>[5]</w:t>
        </w:r>
      </w:hyperlink>
      <w:r/>
    </w:p>
    <w:p>
      <w:r/>
      <w:r>
        <w:t xml:space="preserve">In document‑centric processes such as claims handling, lending and legal administration, the most immediate benefits come from systems that perform classification, extraction and verification at scale. Analysts note that embedding AI into these workflows can cut manual steps and speed processing without undermining traceability when designed with controls in mind. </w:t>
      </w:r>
      <w:hyperlink r:id="rId9">
        <w:r>
          <w:rPr>
            <w:color w:val="0000EE"/>
            <w:u w:val="single"/>
          </w:rPr>
          <w:t>[2]</w:t>
        </w:r>
      </w:hyperlink>
      <w:hyperlink r:id="rId12">
        <w:r>
          <w:rPr>
            <w:color w:val="0000EE"/>
            <w:u w:val="single"/>
          </w:rPr>
          <w:t>[4]</w:t>
        </w:r>
      </w:hyperlink>
      <w:r/>
    </w:p>
    <w:p>
      <w:r/>
      <w:r>
        <w:t xml:space="preserve">Financial services illustrate this layered model vividly. Regulators and compliance teams demand explainability and auditability, so banks and insurers are deploying AI to populate forms, verify supporting documents and flag anomalies while leaving credit adjudication and regulatory interpretation to trained staff. According to PwC, this blended approach preserves compliance while delivering operational lift. </w:t>
      </w:r>
      <w:hyperlink r:id="rId9">
        <w:r>
          <w:rPr>
            <w:color w:val="0000EE"/>
            <w:u w:val="single"/>
          </w:rPr>
          <w:t>[2]</w:t>
        </w:r>
      </w:hyperlink>
      <w:hyperlink r:id="rId10">
        <w:r>
          <w:rPr>
            <w:color w:val="0000EE"/>
            <w:u w:val="single"/>
          </w:rPr>
          <w:t>[3]</w:t>
        </w:r>
      </w:hyperlink>
      <w:r/>
    </w:p>
    <w:p>
      <w:r/>
      <w:r>
        <w:t xml:space="preserve">Operational teams report that the value of automation often lies in its invisibility: AI that runs quietly inside familiar platforms, converting files, validating fields and routing approvals, reduces administrative friction and training friction compared with adding new dashboards or interfaces. Vendors and consultants argue this design principle improves adoption and reduces "system fatigue" among staff. </w:t>
      </w:r>
      <w:hyperlink r:id="rId9">
        <w:r>
          <w:rPr>
            <w:color w:val="0000EE"/>
            <w:u w:val="single"/>
          </w:rPr>
          <w:t>[2]</w:t>
        </w:r>
      </w:hyperlink>
      <w:hyperlink r:id="rId13">
        <w:r>
          <w:rPr>
            <w:color w:val="0000EE"/>
            <w:u w:val="single"/>
          </w:rPr>
          <w:t>[7]</w:t>
        </w:r>
      </w:hyperlink>
      <w:r/>
    </w:p>
    <w:p>
      <w:r/>
      <w:r>
        <w:t xml:space="preserve">Legal and compliance functions are demanding stronger guardrails. Practitioners emphasise immutable audit trails, verifiable signatures and secure archival of records so that any AI‑assisted change remains defensible. Thought leaders in responsible AI implementation warn against deploying models without ongoing governance, monitoring and documented rollback procedures. </w:t>
      </w:r>
      <w:hyperlink r:id="rId9">
        <w:r>
          <w:rPr>
            <w:color w:val="0000EE"/>
            <w:u w:val="single"/>
          </w:rPr>
          <w:t>[2]</w:t>
        </w:r>
      </w:hyperlink>
      <w:hyperlink r:id="rId14">
        <w:r>
          <w:rPr>
            <w:color w:val="0000EE"/>
            <w:u w:val="single"/>
          </w:rPr>
          <w:t>[6]</w:t>
        </w:r>
      </w:hyperlink>
      <w:r/>
    </w:p>
    <w:p>
      <w:r/>
      <w:r>
        <w:t xml:space="preserve">Broader guidance from industry advisers stresses that governance frameworks must evolve alongside increasingly capable AI agents. PwC and other commentators recommend clear oversight arrangements, performance monitoring and integration of AI risk into existing enterprise risk management so that AI augments decision makers rather than obscures them. Academic work also urges organisations to confront the "replace–augment" boundary deliberately to avoid unintended consequences. </w:t>
      </w:r>
      <w:hyperlink r:id="rId10">
        <w:r>
          <w:rPr>
            <w:color w:val="0000EE"/>
            <w:u w:val="single"/>
          </w:rPr>
          <w:t>[3]</w:t>
        </w:r>
      </w:hyperlink>
      <w:hyperlink r:id="rId11">
        <w:r>
          <w:rPr>
            <w:color w:val="0000EE"/>
            <w:u w:val="single"/>
          </w:rPr>
          <w:t>[5]</w:t>
        </w:r>
      </w:hyperlink>
      <w:r/>
    </w:p>
    <w:p>
      <w:r/>
      <w:r>
        <w:t xml:space="preserve">For customer‑facing workflows the consensus is to preserve human engagement where it matters most. AI can triage enquiries, classify intent and speed routing, but firms that rely solely on automation risk eroding trust and missing complex, relationship‑driven resolution. Practitioners recommend hybrid models that accelerate simple interactions while routing nuance to people. </w:t>
      </w:r>
      <w:hyperlink r:id="rId12">
        <w:r>
          <w:rPr>
            <w:color w:val="0000EE"/>
            <w:u w:val="single"/>
          </w:rPr>
          <w:t>[4]</w:t>
        </w:r>
      </w:hyperlink>
      <w:hyperlink r:id="rId13">
        <w:r>
          <w:rPr>
            <w:color w:val="0000EE"/>
            <w:u w:val="single"/>
          </w:rPr>
          <w:t>[7]</w:t>
        </w:r>
      </w:hyperlink>
      <w:r/>
    </w:p>
    <w:p>
      <w:r/>
      <w:r>
        <w:t xml:space="preserve">The practical path forward is therefore measured: deploy AI to eliminate repetitive burdens, improve data fidelity and shorten cycle times, but embed transparency, checkpoints and human accountability at every decision point. Industry guidance and implementation case studies make clear that the organisations most likely to gain advantage will be those that amplify human expertise with governed, explainable automation rather than attempt to substitute it. </w:t>
      </w:r>
      <w:hyperlink r:id="rId14">
        <w:r>
          <w:rPr>
            <w:color w:val="0000EE"/>
            <w:u w:val="single"/>
          </w:rPr>
          <w:t>[6]</w:t>
        </w:r>
      </w:hyperlink>
      <w:hyperlink r:id="rId10">
        <w:r>
          <w:rPr>
            <w:color w:val="0000EE"/>
            <w:u w:val="single"/>
          </w:rPr>
          <w:t>[3]</w:t>
        </w:r>
      </w:hyperlink>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3">
        <w:r>
          <w:rPr>
            <w:color w:val="0000EE"/>
            <w:u w:val="single"/>
          </w:rPr>
          <w:t>[7]</w:t>
        </w:r>
      </w:hyperlink>
      <w:r>
        <w:t xml:space="preserve">- Paragraph 6: </w:t>
      </w:r>
      <w:hyperlink r:id="rId9">
        <w:r>
          <w:rPr>
            <w:color w:val="0000EE"/>
            <w:u w:val="single"/>
          </w:rPr>
          <w:t>[2]</w:t>
        </w:r>
      </w:hyperlink>
      <w:r>
        <w:t xml:space="preserve">, </w:t>
      </w:r>
      <w:hyperlink r:id="rId14">
        <w:r>
          <w:rPr>
            <w:color w:val="0000EE"/>
            <w:u w:val="single"/>
          </w:rPr>
          <w:t>[6]</w:t>
        </w:r>
      </w:hyperlink>
      <w:r>
        <w:t xml:space="preserve">- Paragraph 7: </w:t>
      </w:r>
      <w:hyperlink r:id="rId10">
        <w:r>
          <w:rPr>
            <w:color w:val="0000EE"/>
            <w:u w:val="single"/>
          </w:rPr>
          <w:t>[3]</w:t>
        </w:r>
      </w:hyperlink>
      <w:r>
        <w:t xml:space="preserve">, </w:t>
      </w:r>
      <w:hyperlink r:id="rId11">
        <w:r>
          <w:rPr>
            <w:color w:val="0000EE"/>
            <w:u w:val="single"/>
          </w:rPr>
          <w:t>[5]</w:t>
        </w:r>
      </w:hyperlink>
      <w:r>
        <w:t xml:space="preserve">- Paragraph 8: </w:t>
      </w:r>
      <w:hyperlink r:id="rId12">
        <w:r>
          <w:rPr>
            <w:color w:val="0000EE"/>
            <w:u w:val="single"/>
          </w:rPr>
          <w:t>[4]</w:t>
        </w:r>
      </w:hyperlink>
      <w:r>
        <w:t xml:space="preserve">, </w:t>
      </w:r>
      <w:hyperlink r:id="rId13">
        <w:r>
          <w:rPr>
            <w:color w:val="0000EE"/>
            <w:u w:val="single"/>
          </w:rPr>
          <w:t>[7]</w:t>
        </w:r>
      </w:hyperlink>
      <w:r>
        <w:t xml:space="preserve">- Paragraph 9: </w:t>
      </w:r>
      <w:hyperlink r:id="rId14">
        <w:r>
          <w:rPr>
            <w:color w:val="0000EE"/>
            <w:u w:val="single"/>
          </w:rPr>
          <w:t>[6]</w:t>
        </w:r>
      </w:hyperlink>
      <w:r>
        <w:t xml:space="preserve">, </w:t>
      </w:r>
      <w:hyperlink r:id="rId10">
        <w:r>
          <w:rPr>
            <w:color w:val="0000EE"/>
            <w:u w:val="single"/>
          </w:rPr>
          <w:t>[3]</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https://www.itweb.co.za/article/responsible-ai-in-enterprise-workflows-augmentation-not-replacement/o1Jr5MxPxD2MKdWL</w:t>
        </w:r>
      </w:hyperlink>
      <w:r>
        <w:t xml:space="preserve"> - Please view link - unable to able to access data</w:t>
      </w:r>
      <w:r/>
    </w:p>
    <w:p>
      <w:pPr>
        <w:pStyle w:val="ListNumber"/>
        <w:spacing w:line="240" w:lineRule="auto"/>
        <w:ind w:left="720"/>
      </w:pPr>
      <w:r/>
      <w:hyperlink r:id="rId9">
        <w:r>
          <w:rPr>
            <w:color w:val="0000EE"/>
            <w:u w:val="single"/>
          </w:rPr>
          <w:t>https://www.itweb.co.za/article/responsible-ai-in-enterprise-workflows-augmentation-not-replacement/o1Jr5MxPxD2MKdWL</w:t>
        </w:r>
      </w:hyperlink>
      <w:r>
        <w:t xml:space="preserve"> - This article discusses the growing importance of responsible AI in enterprise workflows, emphasising augmentation over replacement. It highlights the shift from early AI narratives focused on workforce replacement to a more measured approach where AI systems handle repetitive tasks, leaving decision-making authority with humans. The piece also addresses the role of AI in sectors like banking and finance, where it assists in document and approval workflows while maintaining human oversight. Additionally, it covers the benefits of AI in reducing administrative burdens and enhancing customer experience without eroding human interaction.</w:t>
      </w:r>
      <w:r/>
    </w:p>
    <w:p>
      <w:pPr>
        <w:pStyle w:val="ListNumber"/>
        <w:spacing w:line="240" w:lineRule="auto"/>
        <w:ind w:left="720"/>
      </w:pPr>
      <w:r/>
      <w:hyperlink r:id="rId10">
        <w:r>
          <w:rPr>
            <w:color w:val="0000EE"/>
            <w:u w:val="single"/>
          </w:rPr>
          <w:t>https://www.pwc.com/us/en/tech-effect/ai-analytics/responsible-ai-agents.html</w:t>
        </w:r>
      </w:hyperlink>
      <w:r>
        <w:t xml:space="preserve"> - PwC's article explores the responsible adoption of AI agents in enterprise settings. It discusses the essential role of AI agents in enhancing efficiency and decision-making processes, while also highlighting the challenges related to oversight and risk management. The piece advocates for adapting responsible AI practices and evolving governance frameworks to ensure AI agents operate transparently and ethically. It also underscores the importance of aligning AI agent strategies with broader digital transformation goals and maintaining human oversight in critical decision-making processes.</w:t>
      </w:r>
      <w:r/>
    </w:p>
    <w:p>
      <w:pPr>
        <w:pStyle w:val="ListNumber"/>
        <w:spacing w:line="240" w:lineRule="auto"/>
        <w:ind w:left="720"/>
      </w:pPr>
      <w:r/>
      <w:hyperlink r:id="rId12">
        <w:r>
          <w:rPr>
            <w:color w:val="0000EE"/>
            <w:u w:val="single"/>
          </w:rPr>
          <w:t>https://aijourn.com/redefining-workflow-efficiency-the-rise-of-ai-agents-in-enterprise-operations/</w:t>
        </w:r>
      </w:hyperlink>
      <w:r>
        <w:t xml:space="preserve"> - This article examines the transformative impact of AI agents on enterprise operations, focusing on their role in augmenting human workflows rather than replacing them. It discusses the evolution of AI agents from simple automation tools to sophisticated digital colleagues capable of complex tasks. The piece highlights the importance of responsible AI implementation, including establishing clear governance structures, monitoring agent performance, and ensuring ethical considerations are addressed. It also explores the future potential of AI agents in enhancing productivity and fostering innovation within organisations.</w:t>
      </w:r>
      <w:r/>
    </w:p>
    <w:p>
      <w:pPr>
        <w:pStyle w:val="ListNumber"/>
        <w:spacing w:line="240" w:lineRule="auto"/>
        <w:ind w:left="720"/>
      </w:pPr>
      <w:r/>
      <w:hyperlink r:id="rId11">
        <w:r>
          <w:rPr>
            <w:color w:val="0000EE"/>
            <w:u w:val="single"/>
          </w:rPr>
          <w:t>https://link.springer.com/article/10.1007/s41469-025-00194-4</w:t>
        </w:r>
      </w:hyperlink>
      <w:r>
        <w:t xml:space="preserve"> - This research article delves into the impact of AI on organisational decision-making, proposing that AI will replace humans in routine, data-rich operational tasks, while humans and AI will collaborate as thought-partners in more complex, strategic decisions. It introduces the concept of an 'inferential trilemma' to address the challenges in understanding AI-generated innovative ideas. The study emphasises the need for organisations to navigate the replace-augment boundary effectively and develop structures to resolve the inferential trilemma, thereby driving continuous improvements.</w:t>
      </w:r>
      <w:r/>
    </w:p>
    <w:p>
      <w:pPr>
        <w:pStyle w:val="ListNumber"/>
        <w:spacing w:line="240" w:lineRule="auto"/>
        <w:ind w:left="720"/>
      </w:pPr>
      <w:r/>
      <w:hyperlink r:id="rId14">
        <w:r>
          <w:rPr>
            <w:color w:val="0000EE"/>
            <w:u w:val="single"/>
          </w:rPr>
          <w:t>https://medium.com/@saurav.tripati/responsible-ai-implementation-in-enterprise-workflows-aligning-innovation-with-governance-and-risk-fdc2ab8bbd50</w:t>
        </w:r>
      </w:hyperlink>
      <w:r>
        <w:t xml:space="preserve"> - This article discusses the critical importance of responsible AI implementation in enterprise workflows. It highlights the risks associated with AI systems operating without transparency, ethics, and alignment with governance and regulations. The piece advocates for integrating responsible AI practices into operational processes to create systems of checks, balances, and continuous improvement. It also addresses common pitfalls in AI implementation, such as hardcoding values and deploying models without post-launch governance, and suggests strategies to avoid these issues.</w:t>
      </w:r>
      <w:r/>
    </w:p>
    <w:p>
      <w:pPr>
        <w:pStyle w:val="ListNumber"/>
        <w:spacing w:line="240" w:lineRule="auto"/>
        <w:ind w:left="720"/>
      </w:pPr>
      <w:r/>
      <w:hyperlink r:id="rId13">
        <w:r>
          <w:rPr>
            <w:color w:val="0000EE"/>
            <w:u w:val="single"/>
          </w:rPr>
          <w:t>https://www.aodocs.com/blog/ai-augmented-workflows/</w:t>
        </w:r>
      </w:hyperlink>
      <w:r>
        <w:t xml:space="preserve"> - AODocs' blog post explores the concept of AI-augmented workflows, focusing on how AI agents can enhance human decision-making processes without replacing them. It discusses the role of AI in automating repetitive tasks, such as document processing and case assignment, allowing humans to concentrate on more complex decisions. The article also highlights the importance of integrating AI agents into existing workflows, ensuring they operate within defined parameters and maintain human oversight, thereby improving efficiency and productivity.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tweb.co.za/article/responsible-ai-in-enterprise-workflows-augmentation-not-replacement/o1Jr5MxPxD2MKdWL" TargetMode="External"/><Relationship Id="rId10" Type="http://schemas.openxmlformats.org/officeDocument/2006/relationships/hyperlink" Target="https://www.pwc.com/us/en/tech-effect/ai-analytics/responsible-ai-agents.html" TargetMode="External"/><Relationship Id="rId11" Type="http://schemas.openxmlformats.org/officeDocument/2006/relationships/hyperlink" Target="https://link.springer.com/article/10.1007/s41469-025-00194-4" TargetMode="External"/><Relationship Id="rId12" Type="http://schemas.openxmlformats.org/officeDocument/2006/relationships/hyperlink" Target="https://aijourn.com/redefining-workflow-efficiency-the-rise-of-ai-agents-in-enterprise-operations/" TargetMode="External"/><Relationship Id="rId13" Type="http://schemas.openxmlformats.org/officeDocument/2006/relationships/hyperlink" Target="https://www.aodocs.com/blog/ai-augmented-workflows/" TargetMode="External"/><Relationship Id="rId14" Type="http://schemas.openxmlformats.org/officeDocument/2006/relationships/hyperlink" Target="https://medium.com/@saurav.tripati/responsible-ai-implementation-in-enterprise-workflows-aligning-innovation-with-governance-and-risk-fdc2ab8bbd50"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