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Colombian Supreme Court's AI detection clash highlights flaws in automated legal scrutiny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Colombia’s Supreme Court has dismissed a cassation appeal after concluding the filing was produced with the aid of generative artificial intelligence, only to have that conclusion swiftly undercut when the same detection software flagged the court’s own ruling as largely AI-written. According to the report by Decrypt, the court said it used the Winston AI tool to analyse the attorney’s brief and found “only 7% human content,” prompting the dismissal as inadmissible. </w:t>
      </w:r>
      <w:hyperlink r:id="rId9">
        <w:r>
          <w:rPr>
            <w:color w:val="0000EE"/>
            <w:u w:val="single"/>
          </w:rPr>
          <w:t>[2]</w:t>
        </w:r>
      </w:hyperlink>
      <w:r/>
    </w:p>
    <w:p>
      <w:r/>
      <w:r>
        <w:t xml:space="preserve">Legal practitioners immediately began re‑testing the court’s decision with the same and alternative detectors and shared results widely on social media. Attorney Emmanuel Alessio Velasquez posted that he ran the text of Auto AP760/2026 through Winston AI and obtained a result showing “the document contains 93% AI-generated text.” Other lawyers reported similar contradictions when scanning the ruling with GPTZero and comparable services, with outputs swinging from “100% AI” to “100% human” depending on the passage submitted. </w:t>
      </w:r>
      <w:hyperlink r:id="rId9">
        <w:r>
          <w:rPr>
            <w:color w:val="0000EE"/>
            <w:u w:val="single"/>
          </w:rPr>
          <w:t>[2]</w:t>
        </w:r>
      </w:hyperlink>
      <w:r/>
    </w:p>
    <w:p>
      <w:r/>
      <w:r>
        <w:t xml:space="preserve">The episode has focused attention on the technical limits of current AI‑detection tools. Experts point out these systems rely on statistical fingerprints such as predictability, sentence length and so‑called “burstiness,” characteristics that formal legal drafting, academic prose or writing by non‑native speakers often share with model output. That overlap produces false positives, a problem documented in academic work and repeated institutional experience. A 2023 Patterns study found many TOEFL essays by non‑native speakers were wrongly flagged as machine generated, and vendors including Turnitin have publicly acknowledged elevated false positive rates at low levels of AI content. OpenAI itself withdrew a public detection tool after persistent inaccuracies. Universities have disabled detector features following wrongful penalties and misclassifications. </w:t>
      </w:r>
      <w:hyperlink r:id="rId9">
        <w:r>
          <w:rPr>
            <w:color w:val="0000EE"/>
            <w:u w:val="single"/>
          </w:rPr>
          <w:t>[2]</w:t>
        </w:r>
      </w:hyperlink>
      <w:r/>
    </w:p>
    <w:p>
      <w:r/>
      <w:r>
        <w:t xml:space="preserve">Beyond the technical literature, practical incidents underline the stakes. Colombian courts have already grappled with cases of AI‑generated misinformation in legal filings; international incident trackers recorded a lawyer fined for submitting fabricated, AI‑sourced citations. The Supreme Court’s recent decisions , including AC739‑2026, where a lawyer was fined for citing nonexistent AI‑generated precedents in February, and AP760‑2026 , are among the first regional judicial confrontations with generative AI misuse, but they also demonstrate how reliance on fallible detectors can produce contested outcomes. Critics noted that some detectors offer commercial “humanisation” services, creating a perceived conflict of interest when the same industry profits from correcting the problems its tools identify. </w:t>
      </w:r>
      <w:hyperlink r:id="rId10">
        <w:r>
          <w:rPr>
            <w:color w:val="0000EE"/>
            <w:u w:val="single"/>
          </w:rPr>
          <w:t>[5]</w:t>
        </w:r>
      </w:hyperlink>
      <w:hyperlink r:id="rId9">
        <w:r>
          <w:rPr>
            <w:color w:val="0000EE"/>
            <w:u w:val="single"/>
          </w:rPr>
          <w:t>[2]</w:t>
        </w:r>
      </w:hyperlink>
      <w:hyperlink r:id="rId11">
        <w:r>
          <w:rPr>
            <w:color w:val="0000EE"/>
            <w:u w:val="single"/>
          </w:rPr>
          <w:t>[7]</w:t>
        </w:r>
      </w:hyperlink>
      <w:r/>
    </w:p>
    <w:p>
      <w:r/>
      <w:r>
        <w:t xml:space="preserve">Colombia’s judiciary has not been blind to these tensions. The Constitutional Court has emphasised the necessity of human oversight and has referenced UNESCO’s Global Toolkit on AI and the Rule of Law when calling for transparent, accountable use of automated tools. The Superior Council of the Judiciary published formal guidelines in December 2024 (document PCSJA24‑12243) permitting AI for administrative or support tasks but restricting its use in legal reasoning, evidence assessment and final decision‑making unless accompanied by explicit human validation and disclosure. That framework could be cited to challenge rulings that treat detector outputs as decisive proof of misconduct. </w:t>
      </w:r>
      <w:hyperlink r:id="rId12">
        <w:r>
          <w:rPr>
            <w:color w:val="0000EE"/>
            <w:u w:val="single"/>
          </w:rPr>
          <w:t>[3]</w:t>
        </w:r>
      </w:hyperlink>
      <w:hyperlink r:id="rId13">
        <w:r>
          <w:rPr>
            <w:color w:val="0000EE"/>
            <w:u w:val="single"/>
          </w:rPr>
          <w:t>[4]</w:t>
        </w:r>
      </w:hyperlink>
      <w:hyperlink r:id="rId14">
        <w:r>
          <w:rPr>
            <w:color w:val="0000EE"/>
            <w:u w:val="single"/>
          </w:rPr>
          <w:t>[6]</w:t>
        </w:r>
      </w:hyperlink>
      <w:r/>
    </w:p>
    <w:p>
      <w:r/>
      <w:r>
        <w:t xml:space="preserve">Legal commentators say the episode illustrates both a policy and a practical problem: courts and lawyers need robust, verifiable standards before automated assessments can influence access to justice. Observers warn that unchecked detector reliance disproportionately harms those whose writing matches the statistical profiles detectors target , careful, repetitive or non‑native prose , risking wrongful denial of legal remedies. Several commentators argued that transparency about detector methodologies and independent validation are prerequisites to any forensic use in judicial processes. </w:t>
      </w:r>
      <w:hyperlink r:id="rId9">
        <w:r>
          <w:rPr>
            <w:color w:val="0000EE"/>
            <w:u w:val="single"/>
          </w:rPr>
          <w:t>[2]</w:t>
        </w:r>
      </w:hyperlink>
      <w:hyperlink r:id="rId12">
        <w:r>
          <w:rPr>
            <w:color w:val="0000EE"/>
            <w:u w:val="single"/>
          </w:rPr>
          <w:t>[3]</w:t>
        </w:r>
      </w:hyperlink>
      <w:r/>
    </w:p>
    <w:p>
      <w:r/>
      <w:r>
        <w:t xml:space="preserve">The controversy has prompted calls for caution rather than immediate prohibition. While courts must guard against fraudulent or misleading AI‑generated submissions, experts quoted in the coverage urge that technology be used only as an investigatory cue and never as a substitute for human appraisal. As Colombia’s encounters with these questions multiply, the episode underscores a broader legal dilemma worldwide: how to integrate automation into adjudication without letting imperfect tools displace the human judgement that underpins due process. </w:t>
      </w:r>
      <w:hyperlink r:id="rId9">
        <w:r>
          <w:rPr>
            <w:color w:val="0000EE"/>
            <w:u w:val="single"/>
          </w:rPr>
          <w:t>[2]</w:t>
        </w:r>
      </w:hyperlink>
      <w:hyperlink r:id="rId12">
        <w:r>
          <w:rPr>
            <w:color w:val="0000EE"/>
            <w:u w:val="single"/>
          </w:rPr>
          <w:t>[3]</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10">
        <w:r>
          <w:rPr>
            <w:color w:val="0000EE"/>
            <w:u w:val="single"/>
          </w:rPr>
          <w:t>[5]</w:t>
        </w:r>
      </w:hyperlink>
      <w:r>
        <w:t xml:space="preserve">, </w:t>
      </w:r>
      <w:hyperlink r:id="rId9">
        <w:r>
          <w:rPr>
            <w:color w:val="0000EE"/>
            <w:u w:val="single"/>
          </w:rPr>
          <w:t>[2]</w:t>
        </w:r>
      </w:hyperlink>
      <w:r>
        <w:t xml:space="preserve">, </w:t>
      </w:r>
      <w:hyperlink r:id="rId11">
        <w:r>
          <w:rPr>
            <w:color w:val="0000EE"/>
            <w:u w:val="single"/>
          </w:rPr>
          <w:t>[7]</w:t>
        </w:r>
      </w:hyperlink>
      <w:r>
        <w:t xml:space="preserve">- Paragraph 5: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Paragraph 6: </w:t>
      </w:r>
      <w:hyperlink r:id="rId9">
        <w:r>
          <w:rPr>
            <w:color w:val="0000EE"/>
            <w:u w:val="single"/>
          </w:rPr>
          <w:t>[2]</w:t>
        </w:r>
      </w:hyperlink>
      <w:r>
        <w:t xml:space="preserve">, </w:t>
      </w:r>
      <w:hyperlink r:id="rId12">
        <w:r>
          <w:rPr>
            <w:color w:val="0000EE"/>
            <w:u w:val="single"/>
          </w:rPr>
          <w:t>[3]</w:t>
        </w:r>
      </w:hyperlink>
      <w:r>
        <w:t xml:space="preserve">- Paragraph 7: </w:t>
      </w:r>
      <w:hyperlink r:id="rId9">
        <w:r>
          <w:rPr>
            <w:color w:val="0000EE"/>
            <w:u w:val="single"/>
          </w:rPr>
          <w:t>[2]</w:t>
        </w:r>
      </w:hyperlink>
      <w:r>
        <w:t xml:space="preserve">, </w:t>
      </w:r>
      <w:hyperlink r:id="rId12">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https://decrypt.co/359869/colombian-court-rejects-appeal-for-ai-writing-then-gets-flagged-by-its-own-ai-detector</w:t>
        </w:r>
      </w:hyperlink>
      <w:r>
        <w:t xml:space="preserve"> - Please view link - unable to able to access data</w:t>
      </w:r>
      <w:r/>
    </w:p>
    <w:p>
      <w:pPr>
        <w:pStyle w:val="ListNumber"/>
        <w:spacing w:line="240" w:lineRule="auto"/>
        <w:ind w:left="720"/>
      </w:pPr>
      <w:r/>
      <w:hyperlink r:id="rId9">
        <w:r>
          <w:rPr>
            <w:color w:val="0000EE"/>
            <w:u w:val="single"/>
          </w:rPr>
          <w:t>https://decrypt.co/359869/colombian-court-rejects-appeal-for-ai-writing-then-gets-flagged-by-its-own-ai-detector</w:t>
        </w:r>
      </w:hyperlink>
      <w:r>
        <w:t xml:space="preserve"> - The Supreme Court of Colombia dismissed a cassation appeal, alleging it was AI-generated. However, when the court's own ruling was analysed using the same AI detection tool, it was found to be 93% AI-generated, highlighting inconsistencies in AI detection methods. (</w:t>
      </w:r>
      <w:hyperlink r:id="rId16">
        <w:r>
          <w:rPr>
            <w:color w:val="0000EE"/>
            <w:u w:val="single"/>
          </w:rPr>
          <w:t>decrypt.co</w:t>
        </w:r>
      </w:hyperlink>
      <w:r>
        <w:t>)</w:t>
      </w:r>
      <w:r/>
    </w:p>
    <w:p>
      <w:pPr>
        <w:pStyle w:val="ListNumber"/>
        <w:spacing w:line="240" w:lineRule="auto"/>
        <w:ind w:left="720"/>
      </w:pPr>
      <w:r/>
      <w:hyperlink r:id="rId12">
        <w:r>
          <w:rPr>
            <w:color w:val="0000EE"/>
            <w:u w:val="single"/>
          </w:rPr>
          <w:t>https://www.unesco.org/en/articles/ai-courtroom-colombian-constitutional-courts-landmark-ruling-cites-unescos-ai-tools</w:t>
        </w:r>
      </w:hyperlink>
      <w:r>
        <w:t xml:space="preserve"> - The Colombian Constitutional Court issued a ruling emphasising human oversight in AI use within the judiciary, citing UNESCO’s Global Toolkit on AI and the Rule of Law. The court called for comprehensive guidelines on AI usage to ensure transparency and accountability. (</w:t>
      </w:r>
      <w:hyperlink r:id="rId17">
        <w:r>
          <w:rPr>
            <w:color w:val="0000EE"/>
            <w:u w:val="single"/>
          </w:rPr>
          <w:t>unesco.org</w:t>
        </w:r>
      </w:hyperlink>
      <w:r>
        <w:t>)</w:t>
      </w:r>
      <w:r/>
    </w:p>
    <w:p>
      <w:pPr>
        <w:pStyle w:val="ListNumber"/>
        <w:spacing w:line="240" w:lineRule="auto"/>
        <w:ind w:left="720"/>
      </w:pPr>
      <w:r/>
      <w:hyperlink r:id="rId13">
        <w:r>
          <w:rPr>
            <w:color w:val="0000EE"/>
            <w:u w:val="single"/>
          </w:rPr>
          <w:t>https://ids.org.br/en/news-post/in-a-new-ruling-colombias-constitutional-court-analyzes-the-use-of-ai-tools-by-the-countrys-judiciary/</w:t>
        </w:r>
      </w:hyperlink>
      <w:r>
        <w:t xml:space="preserve"> - The Colombian Constitutional Court ruled on the use of AI tools by judges, stating that AI should not replace judicial decision-making but can support reasoning. The court mandated the Superior Council of the Judiciary to establish guidelines for AI implementation in the judiciary. (</w:t>
      </w:r>
      <w:hyperlink r:id="rId18">
        <w:r>
          <w:rPr>
            <w:color w:val="0000EE"/>
            <w:u w:val="single"/>
          </w:rPr>
          <w:t>ids.org.br</w:t>
        </w:r>
      </w:hyperlink>
      <w:r>
        <w:t>)</w:t>
      </w:r>
      <w:r/>
    </w:p>
    <w:p>
      <w:pPr>
        <w:pStyle w:val="ListNumber"/>
        <w:spacing w:line="240" w:lineRule="auto"/>
        <w:ind w:left="720"/>
      </w:pPr>
      <w:r/>
      <w:hyperlink r:id="rId10">
        <w:r>
          <w:rPr>
            <w:color w:val="0000EE"/>
            <w:u w:val="single"/>
          </w:rPr>
          <w:t>https://oecd.ai/en/incidents/2026-02-16-d0ba</w:t>
        </w:r>
      </w:hyperlink>
      <w:r>
        <w:t xml:space="preserve"> - A Colombian lawyer was fined $6,000 for submitting an AI-generated legal resource containing false citations and nonexistent precedents, highlighting the risks of AI-generated misinformation in legal processes. (</w:t>
      </w:r>
      <w:hyperlink r:id="rId19">
        <w:r>
          <w:rPr>
            <w:color w:val="0000EE"/>
            <w:u w:val="single"/>
          </w:rPr>
          <w:t>oecd.ai</w:t>
        </w:r>
      </w:hyperlink>
      <w:r>
        <w:t>)</w:t>
      </w:r>
      <w:r/>
    </w:p>
    <w:p>
      <w:pPr>
        <w:pStyle w:val="ListNumber"/>
        <w:spacing w:line="240" w:lineRule="auto"/>
        <w:ind w:left="720"/>
      </w:pPr>
      <w:r/>
      <w:hyperlink r:id="rId14">
        <w:r>
          <w:rPr>
            <w:color w:val="0000EE"/>
            <w:u w:val="single"/>
          </w:rPr>
          <w:t>https://arizaymarin.com/ruling-t-323-24-and-the-use-of-generativa-ai-in-colombias-judiciary/</w:t>
        </w:r>
      </w:hyperlink>
      <w:r>
        <w:t xml:space="preserve"> - Judgment T-323 of 2024 by the Colombian Constitutional Court addressed the use of generative AI in judicial reasoning, establishing duties for judges to ensure AI tools do not replace human decision-making and to verify AI-generated information. (</w:t>
      </w:r>
      <w:hyperlink r:id="rId20">
        <w:r>
          <w:rPr>
            <w:color w:val="0000EE"/>
            <w:u w:val="single"/>
          </w:rPr>
          <w:t>arizaymarin.com</w:t>
        </w:r>
      </w:hyperlink>
      <w:r>
        <w:t>)</w:t>
      </w:r>
      <w:r/>
    </w:p>
    <w:p>
      <w:pPr>
        <w:pStyle w:val="ListNumber"/>
        <w:spacing w:line="240" w:lineRule="auto"/>
        <w:ind w:left="720"/>
      </w:pPr>
      <w:r/>
      <w:hyperlink r:id="rId11">
        <w:r>
          <w:rPr>
            <w:color w:val="0000EE"/>
            <w:u w:val="single"/>
          </w:rPr>
          <w:t>https://marcasur.com/en/noticia/a-historic-turning-point-colombias-supreme-court-overturns-a-ruling-based-on-non-existent-citations-and-warns-about-unverified-ai-use-5035%26f%3D-2025</w:t>
        </w:r>
      </w:hyperlink>
      <w:r>
        <w:t xml:space="preserve"> - The Colombian Supreme Court overturned a ruling based on non-existent legal citations, warning against unverified AI use in legal processes and emphasising the need for authentic, verifiable sources in judicial decisions. (</w:t>
      </w:r>
      <w:hyperlink r:id="rId21">
        <w:r>
          <w:rPr>
            <w:color w:val="0000EE"/>
            <w:u w:val="single"/>
          </w:rPr>
          <w:t>marcasur.com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59869/colombian-court-rejects-appeal-for-ai-writing-then-gets-flagged-by-its-own-ai-detector" TargetMode="External"/><Relationship Id="rId10" Type="http://schemas.openxmlformats.org/officeDocument/2006/relationships/hyperlink" Target="https://oecd.ai/en/incidents/2026-02-16-d0ba" TargetMode="External"/><Relationship Id="rId11" Type="http://schemas.openxmlformats.org/officeDocument/2006/relationships/hyperlink" Target="https://marcasur.com/en/noticia/a-historic-turning-point-colombias-supreme-court-overturns-a-ruling-based-on-non-existent-citations-and-warns-about-unverified-ai-use-5035%26f%3D-2025" TargetMode="External"/><Relationship Id="rId12" Type="http://schemas.openxmlformats.org/officeDocument/2006/relationships/hyperlink" Target="https://www.unesco.org/en/articles/ai-courtroom-colombian-constitutional-courts-landmark-ruling-cites-unescos-ai-tools" TargetMode="External"/><Relationship Id="rId13" Type="http://schemas.openxmlformats.org/officeDocument/2006/relationships/hyperlink" Target="https://ids.org.br/en/news-post/in-a-new-ruling-colombias-constitutional-court-analyzes-the-use-of-ai-tools-by-the-countrys-judiciary/" TargetMode="External"/><Relationship Id="rId14" Type="http://schemas.openxmlformats.org/officeDocument/2006/relationships/hyperlink" Target="https://arizaymarin.com/ruling-t-323-24-and-the-use-of-generativa-ai-in-colombias-judiciary/" TargetMode="External"/><Relationship Id="rId15" Type="http://schemas.openxmlformats.org/officeDocument/2006/relationships/hyperlink" Target="https://www.noahwire.com" TargetMode="External"/><Relationship Id="rId16" Type="http://schemas.openxmlformats.org/officeDocument/2006/relationships/hyperlink" Target="https://decrypt.co/359869/colombian-court-rejects-appeal-for-ai-writing-then-gets-flagged-by-its-own-ai-detector?utm_source=openai" TargetMode="External"/><Relationship Id="rId17" Type="http://schemas.openxmlformats.org/officeDocument/2006/relationships/hyperlink" Target="https://www.unesco.org/en/articles/ai-courtroom-colombian-constitutional-courts-landmark-ruling-cites-unescos-ai-tools?utm_source=openai" TargetMode="External"/><Relationship Id="rId18" Type="http://schemas.openxmlformats.org/officeDocument/2006/relationships/hyperlink" Target="https://ids.org.br/en/news-post/in-a-new-ruling-colombias-constitutional-court-analyzes-the-use-of-ai-tools-by-the-countrys-judiciary/?utm_source=openai" TargetMode="External"/><Relationship Id="rId19" Type="http://schemas.openxmlformats.org/officeDocument/2006/relationships/hyperlink" Target="https://oecd.ai/en/incidents/2026-02-16-d0ba?utm_source=openai" TargetMode="External"/><Relationship Id="rId20" Type="http://schemas.openxmlformats.org/officeDocument/2006/relationships/hyperlink" Target="https://arizaymarin.com/ruling-t-323-24-and-the-use-of-generativa-ai-in-colombias-judiciary/?utm_source=openai" TargetMode="External"/><Relationship Id="rId21" Type="http://schemas.openxmlformats.org/officeDocument/2006/relationships/hyperlink" Target="https://marcasur.com/en/noticia/a-historic-turning-point-colombias-supreme-court-overturns-a-ruling-based-on-nonexistent-citations-and-warns-about-unverified-ai-use-5035%26f%3D-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