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Pro-human AI declaration sparks bipartisan push for safer and more controllable artificial intelligence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broad coalition of former officials, technical experts and public figures has published a detailed framework aimed at limiting the power of advanced artificial intelligence and restoring human oversight to its development and deployment. According to the Pro-Human AI Declaration on its website, the initiative lays out five central principles intended to shape law and practice: keeping humans in control, preventing concentrated corporate power, protecting the human experience, preserving individual liberty and holding AI developers legally responsible. (Sources: humanstatement.org, protectwhatshuman.org)</w:t>
      </w:r>
      <w:r/>
    </w:p>
    <w:p>
      <w:r/>
      <w:r>
        <w:t>The declaration recommends concrete constraints on future systems, including a moratorium on the deployment of so-called superintelligent architectures until there is scientific consensus and democratic approval, the requirement that powerful models include reliable off-switches, and an outright ban on self-replicating or self-improving AI designs. Speaking for the campaign, MIT physicist Max Tegmark framed the approach with a medical analogy: "AI should not be released into the world until it is proven safe, just as drugs are rigorously tested before approval." (Sources: humanstatement.org, protectwhatshuman.org)</w:t>
      </w:r>
      <w:r/>
    </w:p>
    <w:p>
      <w:r/>
      <w:r>
        <w:t>Backers say the effort is deliberately non-partisan and grassroots in tone, drawing on a campaign brand that urges public participation to "protect what’s human" and to ensure AI serves rather than replaces people in households, workplaces and communities. The movement presents itself as a middle road between blanket bans and unfettered commercial development, pressing for commonsense regulation that foregrounds dignity and family life. (Sources: protectwhatshuman.org, secureainow.org)</w:t>
      </w:r>
      <w:r/>
    </w:p>
    <w:p>
      <w:r/>
      <w:r>
        <w:t>The declaration's legal focus aligns with concurrent U.S. legislative activity seeking to create liability pathways and federal standards. Senators have introduced proposals that would allow victims to sue AI companies for harms caused by their systems, while separate bipartisan bills would authorise a federal institute to set technical standards intended to spur innovation and enhance safety. The combined push from activists and lawmakers signals growing momentum for enforceable rules rather than voluntary industry norms. (Sources: durbin.senate.gov, hickenlooper.senate.gov)</w:t>
      </w:r>
      <w:r/>
    </w:p>
    <w:p>
      <w:r/>
      <w:r>
        <w:t>Organisations advocating for robust oversight have also urged complementary measures such as greater transparency at frontier AI firms, export controls on advanced AI chips and resistance to any federal preemption that would block stronger state-level safeguards. Advocates argue that patchwork regulation without accountability will leave gaps in areas from national security to children's safety, where the declaration calls for mandatory pre-deployment testing of systems designed for minors. (Sources: secureainow.org, protectwhatshuman.org)</w:t>
      </w:r>
      <w:r/>
    </w:p>
    <w:p>
      <w:r/>
      <w:r>
        <w:t>The Pro-Human Declaration arrives amid a growing global conversation about governance: international summits and national proposals have sought cooperative solutions while signatories stress that cross-partisan agreement on guardrails is essential if AI is to expand human capabilities rather than undermine them. Organisers say the initiative is intended to shape both domestic policy debates and wider discussions about export controls, research standards and democratic oversight. (Sources: elysee.fr, humanstatement.org)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[2]</w:t>
        </w:r>
      </w:hyperlink>
      <w:r>
        <w:t xml:space="preserve">- Paragraph 3: </w:t>
      </w:r>
      <w:hyperlink r:id="rId11">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[4]</w:t>
        </w:r>
      </w:hyperlink>
      <w:r>
        <w:t xml:space="preserve">, </w:t>
      </w:r>
      <w:hyperlink r:id="rId11">
        <w:r>
          <w:rPr>
            <w:color w:val="0000EE"/>
            <w:u w:val="single"/>
          </w:rPr>
          <w:t>[2]</w:t>
        </w:r>
      </w:hyperlink>
      <w:r>
        <w:t xml:space="preserve">- Paragraph 6: </w:t>
      </w:r>
      <w:hyperlink r:id="rId15">
        <w:r>
          <w:rPr>
            <w:color w:val="0000EE"/>
            <w:u w:val="single"/>
          </w:rPr>
          <w:t>[5]</w:t>
        </w:r>
      </w:hyperlink>
      <w:r>
        <w:t xml:space="preserve">, </w:t>
      </w:r>
      <w:hyperlink r:id="rId10">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https://slguardian.org/bipartisan-coalition-issues-groundbreaking-ai-safety-framework/</w:t>
        </w:r>
      </w:hyperlink>
      <w:r>
        <w:t xml:space="preserve"> - Please view link - unable to able to access data</w:t>
      </w:r>
      <w:r/>
    </w:p>
    <w:p>
      <w:pPr>
        <w:pStyle w:val="ListNumber"/>
        <w:spacing w:line="240" w:lineRule="auto"/>
        <w:ind w:left="720"/>
      </w:pPr>
      <w:r/>
      <w:hyperlink r:id="rId11">
        <w:r>
          <w:rPr>
            <w:color w:val="0000EE"/>
            <w:u w:val="single"/>
          </w:rPr>
          <w:t>https://protectwhatshuman.org/</w:t>
        </w:r>
      </w:hyperlink>
      <w:r>
        <w:t xml:space="preserve"> - Protect What’s Human is a pro-human movement advocating for commonsense regulation to keep AI safe and under human control. The campaign highlights the threats posed by AI designed to replace humans in various roles, emphasizing the importance of human dignity, community, and family. It calls for regulations that ensure AI serves humanity, not the reverse, and encourages public participation in shaping the future of AI.</w:t>
      </w:r>
      <w:r/>
    </w:p>
    <w:p>
      <w:pPr>
        <w:pStyle w:val="ListNumber"/>
        <w:spacing w:line="240" w:lineRule="auto"/>
        <w:ind w:left="720"/>
      </w:pPr>
      <w:r/>
      <w:hyperlink r:id="rId10">
        <w:r>
          <w:rPr>
            <w:color w:val="0000EE"/>
            <w:u w:val="single"/>
          </w:rPr>
          <w:t>https://humanstatement.org/</w:t>
        </w:r>
      </w:hyperlink>
      <w:r>
        <w:t xml:space="preserve"> - The Pro-Human AI Declaration is a framework released by a bipartisan coalition of experts, former officials, and public figures, outlining strict rules for responsible AI development. The declaration emphasizes five pillars: keeping humans in charge, avoiding concentration of power, protecting the human experience, preserving individual liberty, and holding AI companies legally accountable. It calls for measures such as prohibiting superintelligence until proven safe, mandatory off-switches for powerful systems, and banning self-replicating or self-improving AI architectures.</w:t>
      </w:r>
      <w:r/>
    </w:p>
    <w:p>
      <w:pPr>
        <w:pStyle w:val="ListNumber"/>
        <w:spacing w:line="240" w:lineRule="auto"/>
        <w:ind w:left="720"/>
      </w:pPr>
      <w:r/>
      <w:hyperlink r:id="rId12">
        <w:r>
          <w:rPr>
            <w:color w:val="0000EE"/>
            <w:u w:val="single"/>
          </w:rPr>
          <w:t>https://secureainow.org/</w:t>
        </w:r>
      </w:hyperlink>
      <w:r>
        <w:t xml:space="preserve"> - The Alliance for Secure AI is a U.S.-based nonprofit organization focused on educating the public about the risks of advanced artificial intelligence. Described as a 'bipartisan nonprofit trying to push a middle-ground approach to AI guardrails,' the Alliance opposes the preemption of state-level AI laws and advocates for increased transparency at frontier AI companies and export controls on advanced AI chips.</w:t>
      </w:r>
      <w:r/>
    </w:p>
    <w:p>
      <w:pPr>
        <w:pStyle w:val="ListNumber"/>
        <w:spacing w:line="240" w:lineRule="auto"/>
        <w:ind w:left="720"/>
      </w:pPr>
      <w:r/>
      <w:hyperlink r:id="rId15">
        <w:r>
          <w:rPr>
            <w:color w:val="0000EE"/>
            <w:u w:val="single"/>
          </w:rPr>
          <w:t>https://www.elysee.fr/en/sommet-pour-l-action-sur-l-ia</w:t>
        </w:r>
      </w:hyperlink>
      <w:r>
        <w:t xml:space="preserve"> - The AI Action Summit, co-chaired by French President Emmanuel Macron and Indian Prime Minister Narendra Modi, was held at the Grand Palais in Paris, France, from 10 to 11 February 2025. The summit aimed to address global challenges related to artificial intelligence and promote international cooperation in AI governance.</w:t>
      </w:r>
      <w:r/>
    </w:p>
    <w:p>
      <w:pPr>
        <w:pStyle w:val="ListNumber"/>
        <w:spacing w:line="240" w:lineRule="auto"/>
        <w:ind w:left="720"/>
      </w:pPr>
      <w:r/>
      <w:hyperlink r:id="rId13">
        <w:r>
          <w:rPr>
            <w:color w:val="0000EE"/>
            <w:u w:val="single"/>
          </w:rPr>
          <w:t>https://www.durbin.senate.gov/newsroom/press-releases/durbin-hawley-introduce-bill-allowing-victims-to-sue-ai-companies</w:t>
        </w:r>
      </w:hyperlink>
      <w:r>
        <w:t xml:space="preserve"> - U.S. Senators Dick Durbin and Josh Hawley introduced the AI LEAD Act, a bipartisan bill that would create a federal cause of action for products liability claims when an AI system causes harm. The legislation aims to hold AI companies accountable for the impacts of their systems while allowing for continued innovation in beneficial AI technologies.</w:t>
      </w:r>
      <w:r/>
    </w:p>
    <w:p>
      <w:pPr>
        <w:pStyle w:val="ListNumber"/>
        <w:spacing w:line="240" w:lineRule="auto"/>
        <w:ind w:left="720"/>
      </w:pPr>
      <w:r/>
      <w:hyperlink r:id="rId14">
        <w:r>
          <w:rPr>
            <w:color w:val="0000EE"/>
            <w:u w:val="single"/>
          </w:rPr>
          <w:t>https://www.hickenlooper.senate.gov/press_releases/hickenlooper-bipartisan-senators-introduce-ai-bill-to-accelerate-innovation-strengthen-u-s-leadership/</w:t>
        </w:r>
      </w:hyperlink>
      <w:r>
        <w:t xml:space="preserve"> - U.S. Senators John Hickenlooper, Maria Cantwell, Todd Young, and Marsha Blackburn introduced the bipartisan Future of AI Innovation Act. The legislation authorizes the U.S. AI Safety Institute to develop AI standards to promote long-term innovation in AI, aiming to accelerate groundbreaking AI innovation and strengthen U.S. leadership in the field.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bipartisan-coalition-issues-groundbreaking-ai-safety-framework/" TargetMode="External"/><Relationship Id="rId10" Type="http://schemas.openxmlformats.org/officeDocument/2006/relationships/hyperlink" Target="https://humanstatement.org/" TargetMode="External"/><Relationship Id="rId11" Type="http://schemas.openxmlformats.org/officeDocument/2006/relationships/hyperlink" Target="https://protectwhatshuman.org/" TargetMode="External"/><Relationship Id="rId12" Type="http://schemas.openxmlformats.org/officeDocument/2006/relationships/hyperlink" Target="https://secureainow.org/" TargetMode="External"/><Relationship Id="rId13" Type="http://schemas.openxmlformats.org/officeDocument/2006/relationships/hyperlink" Target="https://www.durbin.senate.gov/newsroom/press-releases/durbin-hawley-introduce-bill-allowing-victims-to-sue-ai-companies" TargetMode="External"/><Relationship Id="rId14" Type="http://schemas.openxmlformats.org/officeDocument/2006/relationships/hyperlink" Target="https://www.hickenlooper.senate.gov/press_releases/hickenlooper-bipartisan-senators-introduce-ai-bill-to-accelerate-innovation-strengthen-u-s-leadership/" TargetMode="External"/><Relationship Id="rId15" Type="http://schemas.openxmlformats.org/officeDocument/2006/relationships/hyperlink" Target="https://www.elysee.fr/en/sommet-pour-l-action-sur-l-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