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real-time conflict coverage risks distorting understanding and what lessons could restore ethical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Conflicts today are not confined to battlefields; they are performed and consumed in real time across screens and feeds, where immediacy frequently outpaces analysis. According to The Daily Pioneer, advances in live transmission and social platforms have collapsed the traditional interval between events and reportage, producing an information ecosystem in which vivid imagery circulates faster than the contextual frameworks necessary to understand it. </w:t>
      </w:r>
      <w:hyperlink r:id="rId9">
        <w:r>
          <w:rPr>
            <w:color w:val="0000EE"/>
            <w:u w:val="single"/>
          </w:rPr>
          <w:t>[2]</w:t>
        </w:r>
      </w:hyperlink>
      <w:r/>
    </w:p>
    <w:p>
      <w:r/>
      <w:r>
        <w:t xml:space="preserve">The visual intensity that now dominates coverage , repeated clips of strikes, stylised reconstructions and real-time maps , can humanise suffering but also risks simplifying complex causes and consequences. Academic analyses of conflict reporting note that dramatic footage often crowds out reporting on displacement, diplomacy and reconstruction, leaving audiences exposed to episodic violence without the structural narratives that explain it. </w:t>
      </w:r>
      <w:hyperlink r:id="rId10">
        <w:r>
          <w:rPr>
            <w:color w:val="0000EE"/>
            <w:u w:val="single"/>
          </w:rPr>
          <w:t>[4]</w:t>
        </w:r>
      </w:hyperlink>
      <w:r/>
    </w:p>
    <w:p>
      <w:r/>
      <w:r>
        <w:t xml:space="preserve">Commercial incentives compound the problem. Broadcasters and digital publishers compete on metrics that reward immediacy and emotional engagement, encouraging editorial choices that favour spectacle over deliberation. Industry observers argue that when ratings shape editorial priorities, the public’s role shifts from engaged citizen to passive spectator, with long-term effects on how societies perceive and respond to war. </w:t>
      </w:r>
      <w:hyperlink r:id="rId10">
        <w:r>
          <w:rPr>
            <w:color w:val="0000EE"/>
            <w:u w:val="single"/>
          </w:rPr>
          <w:t>[4]</w:t>
        </w:r>
      </w:hyperlink>
      <w:r/>
    </w:p>
    <w:p>
      <w:r/>
      <w:r>
        <w:t xml:space="preserve">New technologies have deepened the ethical stakes. The increasing use of AI-generated visualisations and digital simulations to reconstruct attacks blurs lines between verified evidence and illustrative speculation. Ethics scholars warn that even labelled simulations can be misread as factual, and that stylised reconstructions may unintentionally glamorise tactics or obscure uncertainty. The need for clearer transparency around such tools is pressing. </w:t>
      </w:r>
      <w:hyperlink r:id="rId11">
        <w:r>
          <w:rPr>
            <w:color w:val="0000EE"/>
            <w:u w:val="single"/>
          </w:rPr>
          <w:t>[6]</w:t>
        </w:r>
      </w:hyperlink>
      <w:r/>
    </w:p>
    <w:p>
      <w:r/>
      <w:r>
        <w:t xml:space="preserve">There are precedents and models for formalising ethical practice in communication. Educational programmes that treat the ethics of professional communication and crisis messaging offer frameworks for reflective practice that could be adapted for conflict coverage. According to providers of such courses, systematic training helps communicators weigh harms, verify sources and prioritise responsibilities beyond breaking news. </w:t>
      </w:r>
      <w:hyperlink r:id="rId12">
        <w:r>
          <w:rPr>
            <w:color w:val="0000EE"/>
            <w:u w:val="single"/>
          </w:rPr>
          <w:t>[3]</w:t>
        </w:r>
      </w:hyperlink>
      <w:r/>
    </w:p>
    <w:p>
      <w:r/>
      <w:r>
        <w:t xml:space="preserve">Specialised training is also vital for frontline intermediaries. Research on humanitarian interpreters and on engagement with citizen journalists highlights the complex, risky judgements required in conflict zones and the benefits of targeted ethics instruction. Those working at the intersection of communities and media need guidance to navigate confidentiality, verification and the protection of vulnerable sources. </w:t>
      </w:r>
      <w:hyperlink r:id="rId11">
        <w:r>
          <w:rPr>
            <w:color w:val="0000EE"/>
            <w:u w:val="single"/>
          </w:rPr>
          <w:t>[6]</w:t>
        </w:r>
      </w:hyperlink>
      <w:hyperlink r:id="rId13">
        <w:r>
          <w:rPr>
            <w:color w:val="0000EE"/>
            <w:u w:val="single"/>
          </w:rPr>
          <w:t>[7]</w:t>
        </w:r>
      </w:hyperlink>
      <w:r/>
    </w:p>
    <w:p>
      <w:r/>
      <w:r>
        <w:t xml:space="preserve">Beyond credentialing, there are content-specific interventions worth considering. Scholars of peace communication stress the value of long-term, audience-centred programmes that foreground socialisation and reconciliation, particularly among children exposed to chronic violence. Such work demonstrates that communication can be structured to reduce polarisation rather than inflame it. According to recent award-winning research on peace communication, interventions aimed at younger cohorts can produce measurable shifts in attitudes over time. </w:t>
      </w:r>
      <w:hyperlink r:id="rId9">
        <w:r>
          <w:rPr>
            <w:color w:val="0000EE"/>
            <w:u w:val="single"/>
          </w:rPr>
          <w:t>[2]</w:t>
        </w:r>
      </w:hyperlink>
      <w:r/>
    </w:p>
    <w:p>
      <w:r/>
      <w:r>
        <w:t xml:space="preserve">Practical editorial safeguards might include explicit labelling of reconstructed visuals, limits on repetitive looping of graphic material, and a principled refusal to reveal operational details that could escalate harm. Professional bodies and academic institutions could convene to articulate shared standards for conflict communication, balancing public interest with the duty to reduce risk and avoid sensationalism. Existing discussions in journalism ethics offer a starting point for such collective norms. </w:t>
      </w:r>
      <w:hyperlink r:id="rId10">
        <w:r>
          <w:rPr>
            <w:color w:val="0000EE"/>
            <w:u w:val="single"/>
          </w:rPr>
          <w:t>[4]</w:t>
        </w:r>
      </w:hyperlink>
      <w:hyperlink r:id="rId13">
        <w:r>
          <w:rPr>
            <w:color w:val="0000EE"/>
            <w:u w:val="single"/>
          </w:rPr>
          <w:t>[7]</w:t>
        </w:r>
      </w:hyperlink>
      <w:r/>
    </w:p>
    <w:p>
      <w:r/>
      <w:r>
        <w:t xml:space="preserve">Any framework must also account for communication techniques that reduce harm. Nonviolent Communication offers a set of principles focused on empathy and needs-based dialogue which, while developed outside newsroom practice, has been applied in peacebuilding and could inform how stories are framed to convey human impacts without dehumanising language. Integrating empathetic framing alongside factual rigour would re-centre listening as well as telling. </w:t>
      </w:r>
      <w:hyperlink r:id="rId14">
        <w:r>
          <w:rPr>
            <w:color w:val="0000EE"/>
            <w:u w:val="single"/>
          </w:rPr>
          <w:t>[5]</w:t>
        </w:r>
      </w:hyperlink>
      <w:r/>
    </w:p>
    <w:p>
      <w:r/>
      <w:r>
        <w:t xml:space="preserve">Real-time reporting is an irreversible feature of modern conflict; the question is which instincts guide its use. The obligation of media institutions should be to ensure that immediacy does not eclipse accuracy, that technological novelty enhances rather than obscures truth, and that the representation of suffering remains dignified and explanatory. Pursuing common ethical standards, training practitioners, and adopting transparent practices for novel visual tools would strengthen journalism’s capacity to illuminate rather than spectacle. </w:t>
      </w:r>
      <w:hyperlink r:id="rId12">
        <w:r>
          <w:rPr>
            <w:color w:val="0000EE"/>
            <w:u w:val="single"/>
          </w:rPr>
          <w:t>[3]</w:t>
        </w:r>
      </w:hyperlink>
      <w:hyperlink r:id="rId10">
        <w:r>
          <w:rPr>
            <w:color w:val="0000EE"/>
            <w:u w:val="single"/>
          </w:rPr>
          <w:t>[4]</w:t>
        </w:r>
      </w:hyperlink>
      <w:hyperlink r:id="rId11">
        <w:r>
          <w:rPr>
            <w:color w:val="0000EE"/>
            <w:u w:val="single"/>
          </w:rPr>
          <w:t>[6]</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10">
        <w:r>
          <w:rPr>
            <w:color w:val="0000EE"/>
            <w:u w:val="single"/>
          </w:rPr>
          <w:t>[4]</w:t>
        </w:r>
      </w:hyperlink>
      <w:r>
        <w:t xml:space="preserve">- Paragraph 2: </w:t>
      </w:r>
      <w:hyperlink r:id="rId10">
        <w:r>
          <w:rPr>
            <w:color w:val="0000EE"/>
            <w:u w:val="single"/>
          </w:rPr>
          <w:t>[4]</w:t>
        </w:r>
      </w:hyperlink>
      <w:r>
        <w:t xml:space="preserve">- Paragraph 3: </w:t>
      </w:r>
      <w:hyperlink r:id="rId10">
        <w:r>
          <w:rPr>
            <w:color w:val="0000EE"/>
            <w:u w:val="single"/>
          </w:rPr>
          <w:t>[4]</w:t>
        </w:r>
      </w:hyperlink>
      <w:r>
        <w:t xml:space="preserve">- Paragraph 4: </w:t>
      </w:r>
      <w:hyperlink r:id="rId11">
        <w:r>
          <w:rPr>
            <w:color w:val="0000EE"/>
            <w:u w:val="single"/>
          </w:rPr>
          <w:t>[6]</w:t>
        </w:r>
      </w:hyperlink>
      <w:r>
        <w:t xml:space="preserve">- Paragraph 5: </w:t>
      </w:r>
      <w:hyperlink r:id="rId12">
        <w:r>
          <w:rPr>
            <w:color w:val="0000EE"/>
            <w:u w:val="single"/>
          </w:rPr>
          <w:t>[3]</w:t>
        </w:r>
      </w:hyperlink>
      <w:r>
        <w:t xml:space="preserve">- Paragraph 6: </w:t>
      </w:r>
      <w:hyperlink r:id="rId11">
        <w:r>
          <w:rPr>
            <w:color w:val="0000EE"/>
            <w:u w:val="single"/>
          </w:rPr>
          <w:t>[6]</w:t>
        </w:r>
      </w:hyperlink>
      <w:r>
        <w:t xml:space="preserve">, </w:t>
      </w:r>
      <w:hyperlink r:id="rId13">
        <w:r>
          <w:rPr>
            <w:color w:val="0000EE"/>
            <w:u w:val="single"/>
          </w:rPr>
          <w:t>[7]</w:t>
        </w:r>
      </w:hyperlink>
      <w:r>
        <w:t xml:space="preserve">- Paragraph 7: </w:t>
      </w:r>
      <w:hyperlink r:id="rId9">
        <w:r>
          <w:rPr>
            <w:color w:val="0000EE"/>
            <w:u w:val="single"/>
          </w:rPr>
          <w:t>[2]</w:t>
        </w:r>
      </w:hyperlink>
      <w:r>
        <w:t xml:space="preserve">- Paragraph 8: </w:t>
      </w:r>
      <w:hyperlink r:id="rId10">
        <w:r>
          <w:rPr>
            <w:color w:val="0000EE"/>
            <w:u w:val="single"/>
          </w:rPr>
          <w:t>[4]</w:t>
        </w:r>
      </w:hyperlink>
      <w:r>
        <w:t xml:space="preserve">, </w:t>
      </w:r>
      <w:hyperlink r:id="rId13">
        <w:r>
          <w:rPr>
            <w:color w:val="0000EE"/>
            <w:u w:val="single"/>
          </w:rPr>
          <w:t>[7]</w:t>
        </w:r>
      </w:hyperlink>
      <w:r>
        <w:t xml:space="preserve">- Paragraph 9: </w:t>
      </w:r>
      <w:hyperlink r:id="rId14">
        <w:r>
          <w:rPr>
            <w:color w:val="0000EE"/>
            <w:u w:val="single"/>
          </w:rPr>
          <w:t>[5]</w:t>
        </w:r>
      </w:hyperlink>
      <w:r>
        <w:t xml:space="preserve">- Paragraph 10: </w:t>
      </w:r>
      <w:hyperlink r:id="rId12">
        <w:r>
          <w:rPr>
            <w:color w:val="0000EE"/>
            <w:u w:val="single"/>
          </w:rPr>
          <w:t>[3]</w:t>
        </w:r>
      </w:hyperlink>
      <w:r>
        <w:t xml:space="preserve">, </w:t>
      </w:r>
      <w:hyperlink r:id="rId10">
        <w:r>
          <w:rPr>
            <w:color w:val="0000EE"/>
            <w:u w:val="single"/>
          </w:rPr>
          <w:t>[4]</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https://dailypioneer.com/news/communication-ethics-in-an-age-of-conflict</w:t>
        </w:r>
      </w:hyperlink>
      <w:r>
        <w:t xml:space="preserve"> - Please view link - unable to able to access data</w:t>
      </w:r>
      <w:r/>
    </w:p>
    <w:p>
      <w:pPr>
        <w:pStyle w:val="ListNumber"/>
        <w:spacing w:line="240" w:lineRule="auto"/>
        <w:ind w:left="720"/>
      </w:pPr>
      <w:r/>
      <w:hyperlink r:id="rId9">
        <w:r>
          <w:rPr>
            <w:color w:val="0000EE"/>
            <w:u w:val="single"/>
          </w:rPr>
          <w:t>https://www.psu.edu/news/rock-ethics-institute/story/warshels-book-about-israeli-palestinian-conflict-earns-fourth-major</w:t>
        </w:r>
      </w:hyperlink>
      <w:r>
        <w:t xml:space="preserve"> - Yael Warshel's book, 'Experiencing the Israeli-Palestinian Conflict: Children, Peace Communication and Socialization,' has been awarded the 2023 Book of the Year Award in Ethics by the National Communication Association. The book critically examines peace communication interventions and their impacts on children in conflict zones, marking the fourth major award for this interdisciplinary work. (</w:t>
      </w:r>
      <w:hyperlink r:id="rId17">
        <w:r>
          <w:rPr>
            <w:color w:val="0000EE"/>
            <w:u w:val="single"/>
          </w:rPr>
          <w:t>psu.edu</w:t>
        </w:r>
      </w:hyperlink>
      <w:r>
        <w:t>)</w:t>
      </w:r>
      <w:r/>
    </w:p>
    <w:p>
      <w:pPr>
        <w:pStyle w:val="ListNumber"/>
        <w:spacing w:line="240" w:lineRule="auto"/>
        <w:ind w:left="720"/>
      </w:pPr>
      <w:r/>
      <w:hyperlink r:id="rId12">
        <w:r>
          <w:rPr>
            <w:color w:val="0000EE"/>
            <w:u w:val="single"/>
          </w:rPr>
          <w:t>https://www.coursera.org/learn/ethics-of-communication</w:t>
        </w:r>
      </w:hyperlink>
      <w:r>
        <w:t xml:space="preserve"> - The 'Ethics of Communication' course, offered by the University of Notre Dame on Coursera, explores the ethical dimensions of professional communication. It covers topics such as self-examination of individual conflict styles, crisis management, and the application of ethical communication strategies in various professional settings. (</w:t>
      </w:r>
      <w:hyperlink r:id="rId18">
        <w:r>
          <w:rPr>
            <w:color w:val="0000EE"/>
            <w:u w:val="single"/>
          </w:rPr>
          <w:t>coursera.org</w:t>
        </w:r>
      </w:hyperlink>
      <w:r>
        <w:t>)</w:t>
      </w:r>
      <w:r/>
    </w:p>
    <w:p>
      <w:pPr>
        <w:pStyle w:val="ListNumber"/>
        <w:spacing w:line="240" w:lineRule="auto"/>
        <w:ind w:left="720"/>
      </w:pPr>
      <w:r/>
      <w:hyperlink r:id="rId10">
        <w:r>
          <w:rPr>
            <w:color w:val="0000EE"/>
            <w:u w:val="single"/>
          </w:rPr>
          <w:t>https://www.internationaljournal.co.in/index.php/jasass/article/view/663</w:t>
        </w:r>
      </w:hyperlink>
      <w:r>
        <w:t xml:space="preserve"> - The article 'Journalistic Ethics in Conflict Reporting: Case Studies from War Zones' discusses the ethical challenges faced by journalists in conflict zones. It examines how media can influence public perception and the importance of ethical reporting to avoid exacerbating conflicts. (</w:t>
      </w:r>
      <w:hyperlink r:id="rId19">
        <w:r>
          <w:rPr>
            <w:color w:val="0000EE"/>
            <w:u w:val="single"/>
          </w:rPr>
          <w:t>internationaljournal.co.in</w:t>
        </w:r>
      </w:hyperlink>
      <w:r>
        <w:t>)</w:t>
      </w:r>
      <w:r/>
    </w:p>
    <w:p>
      <w:pPr>
        <w:pStyle w:val="ListNumber"/>
        <w:spacing w:line="240" w:lineRule="auto"/>
        <w:ind w:left="720"/>
      </w:pPr>
      <w:r/>
      <w:hyperlink r:id="rId14">
        <w:r>
          <w:rPr>
            <w:color w:val="0000EE"/>
            <w:u w:val="single"/>
          </w:rPr>
          <w:t>https://en.wikipedia.org/wiki/Nonviolent_Communication</w:t>
        </w:r>
      </w:hyperlink>
      <w:r>
        <w:t xml:space="preserve"> - Nonviolent Communication (NVC) is a communication process developed by Marshall Rosenberg that focuses on empathetic engagement and conflict resolution. It has been applied in various contexts, including peace projects, organizational settings, and education, aiming to foster understanding and reduce violence. (</w:t>
      </w:r>
      <w:hyperlink r:id="rId20">
        <w:r>
          <w:rPr>
            <w:color w:val="0000EE"/>
            <w:u w:val="single"/>
          </w:rPr>
          <w:t>en.wikipedia.org</w:t>
        </w:r>
      </w:hyperlink>
      <w:r>
        <w:t>)</w:t>
      </w:r>
      <w:r/>
    </w:p>
    <w:p>
      <w:pPr>
        <w:pStyle w:val="ListNumber"/>
        <w:spacing w:line="240" w:lineRule="auto"/>
        <w:ind w:left="720"/>
      </w:pPr>
      <w:r/>
      <w:hyperlink r:id="rId11">
        <w:r>
          <w:rPr>
            <w:color w:val="0000EE"/>
            <w:u w:val="single"/>
          </w:rPr>
          <w:t>https://www.tandfonline.com/doi/abs/10.1080/17526272.2019.1644412</w:t>
        </w:r>
      </w:hyperlink>
      <w:r>
        <w:t xml:space="preserve"> - The paper 'Ethics Training for Humanitarian Interpreters Working in Conflict and Post-Conflict Settings' addresses the ethical dilemmas faced by interpreters in conflict zones. It discusses the need for specialized training to navigate complex interactions and uphold ethical standards in humanitarian work. (</w:t>
      </w:r>
      <w:hyperlink r:id="rId21">
        <w:r>
          <w:rPr>
            <w:color w:val="0000EE"/>
            <w:u w:val="single"/>
          </w:rPr>
          <w:t>tandfonline.com</w:t>
        </w:r>
      </w:hyperlink>
      <w:r>
        <w:t>)</w:t>
      </w:r>
      <w:r/>
    </w:p>
    <w:p>
      <w:pPr>
        <w:pStyle w:val="ListNumber"/>
        <w:spacing w:line="240" w:lineRule="auto"/>
        <w:ind w:left="720"/>
      </w:pPr>
      <w:r/>
      <w:hyperlink r:id="rId13">
        <w:r>
          <w:rPr>
            <w:color w:val="0000EE"/>
            <w:u w:val="single"/>
          </w:rPr>
          <w:t>https://ethics.journalism.wisc.edu/2024/01/03/conduct-in-conflict-engagement-with-citizen-journalists-in-war-zones/</w:t>
        </w:r>
      </w:hyperlink>
      <w:r>
        <w:t xml:space="preserve"> - The article 'Conduct in Conflict: Engagement with Citizen Journalists in War Zones' explores the role of citizen journalists in conflict reporting. It highlights the ethical considerations and challenges in collaborating with citizen journalists to ensure accurate and responsible reporting in war zones. (</w:t>
      </w:r>
      <w:hyperlink r:id="rId22">
        <w:r>
          <w:rPr>
            <w:color w:val="0000EE"/>
            <w:u w:val="single"/>
          </w:rPr>
          <w:t>ethics.journalism.wisc.edu</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u.edu/news/rock-ethics-institute/story/warshels-book-about-israeli-palestinian-conflict-earns-fourth-major" TargetMode="External"/><Relationship Id="rId10" Type="http://schemas.openxmlformats.org/officeDocument/2006/relationships/hyperlink" Target="https://www.internationaljournal.co.in/index.php/jasass/article/view/663" TargetMode="External"/><Relationship Id="rId11" Type="http://schemas.openxmlformats.org/officeDocument/2006/relationships/hyperlink" Target="https://www.tandfonline.com/doi/abs/10.1080/17526272.2019.1644412" TargetMode="External"/><Relationship Id="rId12" Type="http://schemas.openxmlformats.org/officeDocument/2006/relationships/hyperlink" Target="https://www.coursera.org/learn/ethics-of-communication" TargetMode="External"/><Relationship Id="rId13" Type="http://schemas.openxmlformats.org/officeDocument/2006/relationships/hyperlink" Target="https://ethics.journalism.wisc.edu/2024/01/03/conduct-in-conflict-engagement-with-citizen-journalists-in-war-zones/" TargetMode="External"/><Relationship Id="rId14" Type="http://schemas.openxmlformats.org/officeDocument/2006/relationships/hyperlink" Target="https://en.wikipedia.org/wiki/Nonviolent_Communication" TargetMode="External"/><Relationship Id="rId15" Type="http://schemas.openxmlformats.org/officeDocument/2006/relationships/hyperlink" Target="https://dailypioneer.com/news/communication-ethics-in-an-age-of-conflict" TargetMode="External"/><Relationship Id="rId16" Type="http://schemas.openxmlformats.org/officeDocument/2006/relationships/hyperlink" Target="https://www.noahwire.com" TargetMode="External"/><Relationship Id="rId17" Type="http://schemas.openxmlformats.org/officeDocument/2006/relationships/hyperlink" Target="https://www.psu.edu/news/rock-ethics-institute/story/warshels-book-about-israeli-palestinian-conflict-earns-fourth-major?utm_source=openai" TargetMode="External"/><Relationship Id="rId18" Type="http://schemas.openxmlformats.org/officeDocument/2006/relationships/hyperlink" Target="https://www.coursera.org/learn/ethics-of-communication?utm_source=openai" TargetMode="External"/><Relationship Id="rId19" Type="http://schemas.openxmlformats.org/officeDocument/2006/relationships/hyperlink" Target="https://www.internationaljournal.co.in/index.php/jasass/article/view/663?utm_source=openai" TargetMode="External"/><Relationship Id="rId20" Type="http://schemas.openxmlformats.org/officeDocument/2006/relationships/hyperlink" Target="https://en.wikipedia.org/wiki/Nonviolent_Communication?utm_source=openai" TargetMode="External"/><Relationship Id="rId21" Type="http://schemas.openxmlformats.org/officeDocument/2006/relationships/hyperlink" Target="https://www.tandfonline.com/doi/abs/10.1080/17526272.2019.1644412?utm_source=openai" TargetMode="External"/><Relationship Id="rId22" Type="http://schemas.openxmlformats.org/officeDocument/2006/relationships/hyperlink" Target="https://ethics.journalism.wisc.edu/2024/01/03/conduct-in-conflict-engagement-with-citizen-journalists-in-war-zon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