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raises alarm over AI data poisoning through promotional content manipulation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Regulators and scholars in China have sounded the alarm over what they call "artificial intelligence data poisoning" after a consumer-rights broadcast this week exposed how promotional content is being manufactured to influence AI outputs. During the 315 gala, an investigation by China Media Group demonstrated that a marketing technique known as generative engine optimization, or GEO, was being used to seed the internet with fabricated product articles so that mainstream generative models would surface them as authoritative answers. According to the China Media Group probe, reporters invented a non-existent smart wristband called "Apollo-9" and, after uploading a cluster of promotional pieces to a GEO platform, observed major AI services recommending the fictional device in response to ordinary queries about wearables. (Sources: China Media Group reporting; OECD analysis of GEO practices.) </w:t>
      </w:r>
      <w:r/>
    </w:p>
    <w:p>
      <w:r/>
      <w:r>
        <w:t xml:space="preserve">Academics and industry researchers describe GEO as the next iteration of search-engine manipulation adapted for generative systems. Academic work exploring this space shows both why content can gain undue prominence in AI responses and how modest changes to documents can dramatically alter whether they are cited or surfaced by generative agents. Those studies frame GEO as a set of strategies that systematically raise the visibility of certain documents within the data pipelines that feed language models and retrieval-augmented systems. (Sources: academic diagnostic research on GEO; China Media Group reporting.) </w:t>
      </w:r>
      <w:r/>
    </w:p>
    <w:p>
      <w:r/>
      <w:r>
        <w:t xml:space="preserve">Experts warn the practice amounts to more than marketing trickery and can cross into deliberate data poisoning. Research into poisoning attacks on neural networks has demonstrated how synthetically crafted or adversarial data can be used to shift model behaviour and accelerate the generation of poisoned examples, underscoring the technical plausibility of manipulating training and retrieval signals at scale. Li Fumin, a researcher in intelligent social governance at Shandong University of Finance and Economics, told the gala: "On the one hand, the practice leverages AI and algorithms to make false advertising, which results in unfair competition. On the other hand, this kind of behavior allows people to receive implanted marketing content without knowing it, which violates their consumer rights." (Sources: technical literature on poisoning attacks; China Media Group reporting.) </w:t>
      </w:r>
      <w:r/>
    </w:p>
    <w:p>
      <w:r/>
      <w:r>
        <w:t xml:space="preserve">Responses from technology firms have been cautious and narrowly framed. Several developers acknowledged the problem space while stressing that their core models were not compromised; ByteDance said its Doubao chatbot was not affected and Alibaba said the core reasoning capability of its Qwen model remained intact. Observers note, however, that the vulnerability is structural rather than confined to any single model because many systems depend heavily on openly available web content that can be produced or manipulated en masse. (Sources: China Media Group reporting; policy analyses of generative AI ecosystems.) </w:t>
      </w:r>
      <w:r/>
    </w:p>
    <w:p>
      <w:r/>
      <w:r>
        <w:t xml:space="preserve">Policy voices in China and international organisations are calling for faster, more specific regulation to curb covert manipulation of AI data sources. The OECD has highlighted the consumer-protection and privacy risks when generative platforms embed undisclosed paid content within results, recommending stronger oversight. Domestically, China already regulates public-facing generative AI under the Interim Measures for the Management of Generative AI Services, but commentators say those rules do not yet address GEO explicitly. Song Xiangqing of the Commerce Economy Association of China urged lawmakers to prohibit deliberate contamination of AI data sources and suggested creating a "white list" of trusted information providers alongside coordinated governance involving government supervision, corporate self-regulation and public oversight. He warned: "Without these safeguards, GEO services could evolve into a widespread source of information pollution, enabling data poisoning to spread throughout the AI ecosystem." (Sources: OECD incident analysis; China's Interim Measures; China Media Group reporting.) </w:t>
      </w:r>
      <w:r/>
    </w:p>
    <w:p>
      <w:r/>
      <w:r>
        <w:t xml:space="preserve">Researchers working on generative-search optimisation frameworks say technical and policy remedies can be complementary. Scholars propose diagnostic benchmarks and multi-agent systems that can detect anomalous amplification patterns, improve citation behaviours and promote equitable visibility for trustworthy content. Industry data and new evaluation tools could help platforms identify coordinated promotion campaigns, but experts emphasise that detection technologies must be paired with legal prohibitions, clearer advertising transparency rules and stronger enforcement to protect consumers and preserve informational integrity. (Sources: academic frameworks for GSEO and GEO diagnostics; OECD recommendations; China Media Group reporting.)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1">
        <w:r>
          <w:rPr>
            <w:color w:val="0000EE"/>
            <w:u w:val="single"/>
          </w:rPr>
          <w:t>[3]</w:t>
        </w:r>
      </w:hyperlink>
      <w:r>
        <w:t xml:space="preserve">, </w:t>
      </w:r>
      <w:hyperlink r:id="rId9">
        <w:r>
          <w:rPr>
            <w:color w:val="0000EE"/>
            <w:u w:val="single"/>
          </w:rPr>
          <w:t>[1]</w:t>
        </w:r>
      </w:hyperlink>
      <w:r>
        <w:t xml:space="preserve">- Paragraph 3: </w:t>
      </w:r>
      <w:hyperlink r:id="rId12">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w:t>
      </w:r>
      <w:hyperlink r:id="rId9">
        <w:r>
          <w:rPr>
            <w:color w:val="0000EE"/>
            <w:u w:val="single"/>
          </w:rPr>
          <w:t>[1]</w:t>
        </w:r>
      </w:hyperlink>
      <w:r>
        <w:t xml:space="preserve">- Paragraph 6: </w:t>
      </w:r>
      <w:hyperlink r:id="rId14">
        <w:r>
          <w:rPr>
            <w:color w:val="0000EE"/>
            <w:u w:val="single"/>
          </w:rPr>
          <w:t>[4]</w:t>
        </w:r>
      </w:hyperlink>
      <w:r>
        <w:t xml:space="preserve">, </w:t>
      </w:r>
      <w:hyperlink r:id="rId11">
        <w:r>
          <w:rPr>
            <w:color w:val="0000EE"/>
            <w:u w:val="single"/>
          </w:rPr>
          <w:t>[3]</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https://www.chinadaily.com.cn/a/202603/17/WS69b8a2aba310d6866eb3e22e.html</w:t>
        </w:r>
      </w:hyperlink>
      <w:r>
        <w:t xml:space="preserve"> - Please view link - unable to able to access data</w:t>
      </w:r>
      <w:r/>
    </w:p>
    <w:p>
      <w:pPr>
        <w:pStyle w:val="ListNumber"/>
        <w:spacing w:line="240" w:lineRule="auto"/>
        <w:ind w:left="720"/>
      </w:pPr>
      <w:r/>
      <w:hyperlink r:id="rId10">
        <w:r>
          <w:rPr>
            <w:color w:val="0000EE"/>
            <w:u w:val="single"/>
          </w:rPr>
          <w:t>https://oecd.ai/en/incidents/2025-11-23-def4</w:t>
        </w:r>
      </w:hyperlink>
      <w:r>
        <w:t xml:space="preserve"> - An investigation in China revealed that generative AI platforms are embedding undisclosed paid advertisements and personal information within search results. This practice misleads users, violates consumer rights, and breaches privacy laws, as businesses exploit 'Generative Engine Optimization' (GEO) to manipulate AI-generated content for commercial gain. The OECD highlights the need for regulatory oversight to address these issues and protect consumers from deceptive practices in AI-generated content.</w:t>
      </w:r>
      <w:r/>
    </w:p>
    <w:p>
      <w:pPr>
        <w:pStyle w:val="ListNumber"/>
        <w:spacing w:line="240" w:lineRule="auto"/>
        <w:ind w:left="720"/>
      </w:pPr>
      <w:r/>
      <w:hyperlink r:id="rId11">
        <w:r>
          <w:rPr>
            <w:color w:val="0000EE"/>
            <w:u w:val="single"/>
          </w:rPr>
          <w:t>https://arxiv.org/abs/2603.09296</w:t>
        </w:r>
      </w:hyperlink>
      <w:r>
        <w:t xml:space="preserve"> - This paper introduces a diagnostic approach to Generative Engine Optimization (GEO) that focuses on understanding why certain documents fail to be cited in AI-generated responses. The authors develop a unified framework comprising a taxonomy of citation failure modes, an agentic system called AgentGEO, and a document-centric benchmark. The study demonstrates that AgentGEO can significantly improve citation rates by modifying a small percentage of content, offering insights into equitable visibility in AI-mediated information access.</w:t>
      </w:r>
      <w:r/>
    </w:p>
    <w:p>
      <w:pPr>
        <w:pStyle w:val="ListNumber"/>
        <w:spacing w:line="240" w:lineRule="auto"/>
        <w:ind w:left="720"/>
      </w:pPr>
      <w:r/>
      <w:hyperlink r:id="rId14">
        <w:r>
          <w:rPr>
            <w:color w:val="0000EE"/>
            <w:u w:val="single"/>
          </w:rPr>
          <w:t>https://arxiv.org/abs/2509.05607</w:t>
        </w:r>
      </w:hyperlink>
      <w:r>
        <w:t xml:space="preserve"> - The paper presents a comprehensive framework for Generative Search Engine Optimization (GSEO) to address challenges posed by the shift from traditional search to generative search engines. The authors construct a large-scale, content-centric benchmark called CC-GSEO-Bench and propose a multi-dimensional evaluation framework to systematically quantify content influence. They also design a multi-agent system that automates the strategic refinement of content through a collaborative analyze-revise-evaluate workflow, providing actionable strategies for content creators and establishing a foundation for future GSEO research.</w:t>
      </w:r>
      <w:r/>
    </w:p>
    <w:p>
      <w:pPr>
        <w:pStyle w:val="ListNumber"/>
        <w:spacing w:line="240" w:lineRule="auto"/>
        <w:ind w:left="720"/>
      </w:pPr>
      <w:r/>
      <w:hyperlink r:id="rId12">
        <w:r>
          <w:rPr>
            <w:color w:val="0000EE"/>
            <w:u w:val="single"/>
          </w:rPr>
          <w:t>https://arxiv.org/abs/1703.01340</w:t>
        </w:r>
      </w:hyperlink>
      <w:r>
        <w:t xml:space="preserve"> - This study examines the vulnerability of neural networks to poisoning attacks, particularly focusing on deep neural networks (DNNs). The authors propose a generative method to accelerate the generation of poisoned data by using an auto-encoder (generator) updated by a reward function of the loss, and a target NN model (discriminator) that receives the poisoned data to calculate the loss with respect to the normal data. The experiment results show that the generative method can speed up the poisoned data generation rate by up to 239.38x compared with the direct gradient method, with slightly lower model accuracy degradation.</w:t>
      </w:r>
      <w:r/>
    </w:p>
    <w:p>
      <w:pPr>
        <w:pStyle w:val="ListNumber"/>
        <w:spacing w:line="240" w:lineRule="auto"/>
        <w:ind w:left="720"/>
      </w:pPr>
      <w:r/>
      <w:hyperlink r:id="rId13">
        <w:r>
          <w:rPr>
            <w:color w:val="0000EE"/>
            <w:u w:val="single"/>
          </w:rPr>
          <w:t>https://en.wikipedia.org/wiki/Interim_Measures_for_the_Management_of_Generative_AI_Services</w:t>
        </w:r>
      </w:hyperlink>
      <w:r>
        <w:t xml:space="preserve"> - The Interim Measures for the Management of Generative AI Services are a set of regulations introduced by China to govern public-facing generative artificial intelligence within the country. Effective from 15 August 2023, these measures apply to all providers offering generative AI services to the Chinese public, including foreign entities. The regulations set rules related to data protection, transparency, and algorithmic accountability, marking one of the first comprehensive national regulatory frameworks for generative AI.</w:t>
      </w:r>
      <w:r/>
    </w:p>
    <w:p>
      <w:pPr>
        <w:pStyle w:val="ListNumber"/>
        <w:spacing w:line="240" w:lineRule="auto"/>
        <w:ind w:left="720"/>
      </w:pPr>
      <w:r/>
      <w:hyperlink r:id="rId16">
        <w:r>
          <w:rPr>
            <w:color w:val="0000EE"/>
            <w:u w:val="single"/>
          </w:rPr>
          <w:t>https://en.wikipedia.org/wiki/Regulation_of_artificial_intelligence</w:t>
        </w:r>
      </w:hyperlink>
      <w:r>
        <w:t xml:space="preserve"> - In 2023, China introduced the Interim Measures for the Management of Generative AI Services, a set of regulations that took effect on 15 August 2023. These measures apply to all providers offering generative AI services to the Chinese public, including foreign entities, and set rules related to data protection, transparency, and algorithmic accountability. This move positions China as one of the first countries to implement a comprehensive national regulatory framework for generative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603/17/WS69b8a2aba310d6866eb3e22e.html" TargetMode="External"/><Relationship Id="rId10" Type="http://schemas.openxmlformats.org/officeDocument/2006/relationships/hyperlink" Target="https://oecd.ai/en/incidents/2025-11-23-def4" TargetMode="External"/><Relationship Id="rId11" Type="http://schemas.openxmlformats.org/officeDocument/2006/relationships/hyperlink" Target="https://arxiv.org/abs/2603.09296" TargetMode="External"/><Relationship Id="rId12" Type="http://schemas.openxmlformats.org/officeDocument/2006/relationships/hyperlink" Target="https://arxiv.org/abs/1703.01340" TargetMode="External"/><Relationship Id="rId13" Type="http://schemas.openxmlformats.org/officeDocument/2006/relationships/hyperlink" Target="https://en.wikipedia.org/wiki/Interim_Measures_for_the_Management_of_Generative_AI_Services" TargetMode="External"/><Relationship Id="rId14" Type="http://schemas.openxmlformats.org/officeDocument/2006/relationships/hyperlink" Target="https://arxiv.org/abs/2509.05607"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Regulation_of_artificial_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