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Denmark’s integrated approach to responsible AI sets new standards for trustworthy governance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Denmark has turned an early embrace of digital governance into a cohesive strategy for trustworthy artificial intelligence, pairing legal obligations with industry-led standards and practical regulatory tools to push responsible AI from pilot projects into everyday use. Government legislation that implements the EU AI Act and national guidance for enforcement have created a predictable compliance landscape, while public–private initiatives have supplied templates and infrastructure to help firms adapt quickly. According to analyses of Denmark’s regulatory changes and governance experiments, this mixture of law and collaboration is what distinguishes its approach. (Sources: Ministry-level implementation and regulatory reviews.) </w:t>
      </w:r>
      <w:r/>
    </w:p>
    <w:p>
      <w:r/>
      <w:r>
        <w:t xml:space="preserve">A defining pillar of Denmark’s model is statutory data ethics reporting for large companies, which forces boards to disclose their data-ethics policies or explain their absence in annual financial statements. Major Danish and multinational firms operating in Denmark already publish such reports, providing a degree of transparency and comparability rarely mandated elsewhere. Corporate examples demonstrate how statutory disclosure has elevated data ethics into boardroom responsibility rather than leaving it to technical teams. </w:t>
      </w:r>
      <w:r/>
    </w:p>
    <w:p>
      <w:r/>
      <w:r>
        <w:t xml:space="preserve">Industry-developed certification schemes have created consumer-facing trust marks that translate technical compliance into market signals. A coalition of businesses and trade bodies has produced voluntary labelling and audit frameworks that function much like product certifications, helping customers and partners identify services that meet agreed standards for fairness, security and transparency. This cooperative, market-based layer sits alongside statutory measures and helps small and medium enterprises demonstrate compliance in a recognisable way. </w:t>
      </w:r>
      <w:r/>
    </w:p>
    <w:p>
      <w:r/>
      <w:r>
        <w:t xml:space="preserve">To reduce cultural and linguistic mismatch, Denmark has prioritised locally trained language models and transparent model-development practices. Initiatives supported by domestic companies and public actors aim to produce language models tuned to Danish norms and datasets, with an emphasis on openness about training data and performance characteristics so that public-sector use cases, healthcare, legal services and social administration, can rely on culturally accurate outputs. Observers note such sovereign-capacity projects are intended to limit imported bias while providing a safe foundation for national applications. </w:t>
      </w:r>
      <w:r/>
    </w:p>
    <w:p>
      <w:r/>
      <w:r>
        <w:t xml:space="preserve">Practical support for testing high-risk systems is delivered through expanded regulatory sandboxes and guidance from competent authorities, enabling organisations to trial recruitment, credit-scoring and other sensitive applications under supervised conditions. These sandboxes shorten the feedback loop between developers and regulators, allowing technical teams to iterate on compliance features before wide deployment and reducing the risk of enforcement action once systems enter production. </w:t>
      </w:r>
      <w:r/>
    </w:p>
    <w:p>
      <w:r/>
      <w:r>
        <w:t xml:space="preserve">The Danish model emphasises meaningful human oversight and augmentation. Policy guidance and sector frameworks make clear that systems deployed for consequential decisions must keep humans materially involved in final judgements, and that agentic tools should act as assistants rather than autonomous replacements. This orientation toward augmentation has been reinforced by business coalitions and labour stakeholders as a way to integrate AI while protecting workplace roles and ethical standards. </w:t>
      </w:r>
      <w:r/>
    </w:p>
    <w:p>
      <w:r/>
      <w:r>
        <w:t xml:space="preserve">Regulators themselves are using AI for targeted supervision, for example to monitor corporate registers and detect anomalies while limiting unnecessary interventions. This “responsible-by-design” use of automated monitoring demonstrates a reciprocal principle: the state expects explainability and auditability from the private sector and applies similar standards to its own operational tools. Independent oversight bodies review such deployments to ensure proportionality and to guard against false positives that could harm compliant businesses. </w:t>
      </w:r>
      <w:r/>
    </w:p>
    <w:p>
      <w:r/>
      <w:r>
        <w:t xml:space="preserve">Independent expert bodies continue to shape public debate and policy direction. An advisory council on data ethics provides non-binding but influential recommendations on technologies such as facial recognition and synthetic data, prompting legislative and procurement responses when the council draws a public red line. These independent voices help keep regulatory practice responsive to emerging ethical concerns and maintain public trust in technology governance. </w:t>
      </w:r>
      <w:r/>
    </w:p>
    <w:p>
      <w:r/>
      <w:r>
        <w:t xml:space="preserve">Climate considerations are integrated into AI governance in Denmark, with policy and corporate reporting increasingly assessing the environmental footprint of model training and deployments. Energy-intensive projects are expected to account for carbon impacts and prioritise efficiency or climate-beneficial applications, reflecting national commitments to decarbonisation and examples from major domestic firms that link data-ethics transparency with sustainability reporting. </w:t>
      </w:r>
      <w:r/>
    </w:p>
    <w:p>
      <w:r/>
      <w:r>
        <w:t xml:space="preserve">Taken together, Denmark’s combination of statutory duties, industry standards, testing infrastructures and independent oversight aims to convert ethical obligations into competitive strengths for firms that adopt them early. By coupling legal clarity with practical supports, the country is positioning responsible AI as both a governance imperative and a market differentiator that other jurisdictions are studying as they implement their own AI frameworks.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w:t>
      </w:r>
      <w:hyperlink r:id="rId10">
        <w:r>
          <w:rPr>
            <w:color w:val="0000EE"/>
            <w:u w:val="single"/>
          </w:rPr>
          <w:t>[5]</w:t>
        </w:r>
      </w:hyperlink>
      <w:r>
        <w:t xml:space="preserve">- Paragraph 3: </w:t>
      </w:r>
      <w:hyperlink r:id="rId14">
        <w:r>
          <w:rPr>
            <w:color w:val="0000EE"/>
            <w:u w:val="single"/>
          </w:rPr>
          <w:t>[3]</w:t>
        </w:r>
      </w:hyperlink>
      <w:r>
        <w:t xml:space="preserve">, </w:t>
      </w:r>
      <w:hyperlink r:id="rId11">
        <w:r>
          <w:rPr>
            <w:color w:val="0000EE"/>
            <w:u w:val="single"/>
          </w:rPr>
          <w:t>[6]</w:t>
        </w:r>
      </w:hyperlink>
      <w:r>
        <w:t xml:space="preserve">- Paragraph 4: </w:t>
      </w:r>
      <w:hyperlink r:id="rId14">
        <w:r>
          <w:rPr>
            <w:color w:val="0000EE"/>
            <w:u w:val="single"/>
          </w:rPr>
          <w:t>[3]</w:t>
        </w:r>
      </w:hyperlink>
      <w:r>
        <w:t xml:space="preserve">, </w:t>
      </w:r>
      <w:hyperlink r:id="rId11">
        <w:r>
          <w:rPr>
            <w:color w:val="0000EE"/>
            <w:u w:val="single"/>
          </w:rPr>
          <w:t>[6]</w:t>
        </w:r>
      </w:hyperlink>
      <w:r>
        <w:t xml:space="preserve">- Paragraph 5: </w:t>
      </w:r>
      <w:hyperlink r:id="rId11">
        <w:r>
          <w:rPr>
            <w:color w:val="0000EE"/>
            <w:u w:val="single"/>
          </w:rPr>
          <w:t>[6]</w:t>
        </w:r>
      </w:hyperlink>
      <w:r>
        <w:t xml:space="preserve">, </w:t>
      </w:r>
      <w:hyperlink r:id="rId10">
        <w:r>
          <w:rPr>
            <w:color w:val="0000EE"/>
            <w:u w:val="single"/>
          </w:rPr>
          <w:t>[5]</w:t>
        </w:r>
      </w:hyperlink>
      <w:r>
        <w:t xml:space="preserve">- Paragraph 6: </w:t>
      </w:r>
      <w:hyperlink r:id="rId14">
        <w:r>
          <w:rPr>
            <w:color w:val="0000EE"/>
            <w:u w:val="single"/>
          </w:rPr>
          <w:t>[3]</w:t>
        </w:r>
      </w:hyperlink>
      <w:r>
        <w:t xml:space="preserve">, </w:t>
      </w:r>
      <w:hyperlink r:id="rId15">
        <w:r>
          <w:rPr>
            <w:color w:val="0000EE"/>
            <w:u w:val="single"/>
          </w:rPr>
          <w:t>[7]</w:t>
        </w:r>
      </w:hyperlink>
      <w:r>
        <w:t xml:space="preserve">- Paragraph 7: </w:t>
      </w:r>
      <w:hyperlink r:id="rId11">
        <w:r>
          <w:rPr>
            <w:color w:val="0000EE"/>
            <w:u w:val="single"/>
          </w:rPr>
          <w:t>[6]</w:t>
        </w:r>
      </w:hyperlink>
      <w:r>
        <w:t xml:space="preserve">, </w:t>
      </w:r>
      <w:hyperlink r:id="rId10">
        <w:r>
          <w:rPr>
            <w:color w:val="0000EE"/>
            <w:u w:val="single"/>
          </w:rPr>
          <w:t>[5]</w:t>
        </w:r>
      </w:hyperlink>
      <w:r>
        <w:t xml:space="preserve">- Paragraph 8: </w:t>
      </w:r>
      <w:hyperlink r:id="rId11">
        <w:r>
          <w:rPr>
            <w:color w:val="0000EE"/>
            <w:u w:val="single"/>
          </w:rPr>
          <w:t>[6]</w:t>
        </w:r>
      </w:hyperlink>
      <w:r>
        <w:t xml:space="preserve">, </w:t>
      </w:r>
      <w:hyperlink r:id="rId10">
        <w:r>
          <w:rPr>
            <w:color w:val="0000EE"/>
            <w:u w:val="single"/>
          </w:rPr>
          <w:t>[5]</w:t>
        </w:r>
      </w:hyperlink>
      <w:r>
        <w:t xml:space="preserve">- Paragraph 9: </w:t>
      </w:r>
      <w:hyperlink r:id="rId12">
        <w:r>
          <w:rPr>
            <w:color w:val="0000EE"/>
            <w:u w:val="single"/>
          </w:rPr>
          <w:t>[2]</w:t>
        </w:r>
      </w:hyperlink>
      <w:r>
        <w:t xml:space="preserve">, </w:t>
      </w:r>
      <w:hyperlink r:id="rId11">
        <w:r>
          <w:rPr>
            <w:color w:val="0000EE"/>
            <w:u w:val="single"/>
          </w:rPr>
          <w:t>[6]</w:t>
        </w:r>
      </w:hyperlink>
      <w:r>
        <w:t xml:space="preserve">- Paragraph 10: </w:t>
      </w:r>
      <w:hyperlink r:id="rId14">
        <w:r>
          <w:rPr>
            <w:color w:val="0000EE"/>
            <w:u w:val="single"/>
          </w:rPr>
          <w:t>[3]</w:t>
        </w:r>
      </w:hyperlink>
      <w:r>
        <w:t xml:space="preserve">, </w:t>
      </w:r>
      <w:hyperlink r:id="rId10">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https://editorialge.com/danish-responsible-ai-frameworks-key-facts/</w:t>
        </w:r>
      </w:hyperlink>
      <w:r>
        <w:t xml:space="preserve"> - Please view link - unable to able to access data</w:t>
      </w:r>
      <w:r/>
    </w:p>
    <w:p>
      <w:pPr>
        <w:pStyle w:val="ListNumber"/>
        <w:spacing w:line="240" w:lineRule="auto"/>
        <w:ind w:left="720"/>
      </w:pPr>
      <w:r/>
      <w:hyperlink r:id="rId12">
        <w:r>
          <w:rPr>
            <w:color w:val="0000EE"/>
            <w:u w:val="single"/>
          </w:rPr>
          <w:t>https://orsted.com/en/about-us/our-organisation/corporate-governance/data-ethics-report</w:t>
        </w:r>
      </w:hyperlink>
      <w:r>
        <w:t xml:space="preserve"> - Ørsted, a global leader in offshore wind energy, has developed a data ethics policy in compliance with Section 99d of the Danish Financial Statements Act. The company publishes annual statutory reports detailing its data ethics practices, ensuring transparency and accountability in its operations. These reports are accessible on Ørsted's official website, providing insights into the company's commitment to responsible data management and ethical considerations in its business activities.</w:t>
      </w:r>
      <w:r/>
    </w:p>
    <w:p>
      <w:pPr>
        <w:pStyle w:val="ListNumber"/>
        <w:spacing w:line="240" w:lineRule="auto"/>
        <w:ind w:left="720"/>
      </w:pPr>
      <w:r/>
      <w:hyperlink r:id="rId14">
        <w:r>
          <w:rPr>
            <w:color w:val="0000EE"/>
            <w:u w:val="single"/>
          </w:rPr>
          <w:t>https://www.cnbc.com/2024/11/13/denmark-lays-out-eu-ai-act-compliance-blueprint-with-microsoft-backing.html</w:t>
        </w:r>
      </w:hyperlink>
      <w:r>
        <w:t xml:space="preserve"> - In November 2024, a coalition of major Danish corporations, led by IT consultancy Netcompany, introduced a framework to assist organizations in adhering to the European Union's AI Act. This initiative, supported by prominent Danish banks, pension managers, insurance firms, and Microsoft, offers best-practice guidelines for deploying AI systems within a regulated environment. The framework aims to promote secure and reliable AI services across both public and private sectors in Denmark.</w:t>
      </w:r>
      <w:r/>
    </w:p>
    <w:p>
      <w:pPr>
        <w:pStyle w:val="ListNumber"/>
        <w:spacing w:line="240" w:lineRule="auto"/>
        <w:ind w:left="720"/>
      </w:pPr>
      <w:r/>
      <w:hyperlink r:id="rId13">
        <w:r>
          <w:rPr>
            <w:color w:val="0000EE"/>
            <w:u w:val="single"/>
          </w:rPr>
          <w:t>https://corporate.totalenergies.dk/data-ethics-policy</w:t>
        </w:r>
      </w:hyperlink>
      <w:r>
        <w:t xml:space="preserve"> - TotalEnergies Denmark has established a data ethics policy in accordance with Section 99d of the Danish Financial Statements Act. The company provides annual reports detailing its data ethics practices, ensuring transparency and accountability in its operations. These reports are available on TotalEnergies Denmark's corporate website, offering insights into the company's commitment to responsible data management and ethical considerations in its business activities.</w:t>
      </w:r>
      <w:r/>
    </w:p>
    <w:p>
      <w:pPr>
        <w:pStyle w:val="ListNumber"/>
        <w:spacing w:line="240" w:lineRule="auto"/>
        <w:ind w:left="720"/>
      </w:pPr>
      <w:r/>
      <w:hyperlink r:id="rId10">
        <w:r>
          <w:rPr>
            <w:color w:val="0000EE"/>
            <w:u w:val="single"/>
          </w:rPr>
          <w:t>https://regulations.ai/regulations/denmark-summary</w:t>
        </w:r>
      </w:hyperlink>
      <w:r>
        <w:t xml:space="preserve"> - Denmark has implemented the EU AI Act through the Act on Supplementary Provisions to the Regulation on Artificial Intelligence (Law No. 467 of 2025). This legislation designates national competent authorities and outlines penalties for violations, positioning Denmark as a leader in AI regulation within the EU. The law reflects Denmark's proactive approach to integrating AI technologies while ensuring compliance with European standards and safeguarding individual rights.</w:t>
      </w:r>
      <w:r/>
    </w:p>
    <w:p>
      <w:pPr>
        <w:pStyle w:val="ListNumber"/>
        <w:spacing w:line="240" w:lineRule="auto"/>
        <w:ind w:left="720"/>
      </w:pPr>
      <w:r/>
      <w:hyperlink r:id="rId11">
        <w:r>
          <w:rPr>
            <w:color w:val="0000EE"/>
            <w:u w:val="single"/>
          </w:rPr>
          <w:t>https://digital.nemko.com/insights/denmarks-ai-governance-model-scale-ai-without-losing-trust-nemko-digital</w:t>
        </w:r>
      </w:hyperlink>
      <w:r>
        <w:t xml:space="preserve"> - Denmark's AI governance model emphasizes scaling AI technologies without compromising public trust. The country has established regulatory sandboxes to allow organizations to test AI solutions under regulatory oversight, ensuring compliance with the EU AI Act. Additionally, the Danish Data Protection Authority publishes reports detailing legal interpretations and governance decisions, providing practical guidance for organizations navigating AI regulations and promoting responsible AI deployment.</w:t>
      </w:r>
      <w:r/>
    </w:p>
    <w:p>
      <w:pPr>
        <w:pStyle w:val="ListNumber"/>
        <w:spacing w:line="240" w:lineRule="auto"/>
        <w:ind w:left="720"/>
      </w:pPr>
      <w:r/>
      <w:hyperlink r:id="rId15">
        <w:r>
          <w:rPr>
            <w:color w:val="0000EE"/>
            <w:u w:val="single"/>
          </w:rPr>
          <w:t>https://www.ey.com/en_dk/insights/public-policy/why-companies-must-prepare-now-for-the-new-eu-ai-act</w:t>
        </w:r>
      </w:hyperlink>
      <w:r>
        <w:t xml:space="preserve"> - The European Union's AI Act, effective from August 2024, introduces significant compliance obligations for organizations deploying AI systems. Companies must adhere to prohibitions within six months and comply with most General Purpose AI (GPAI) obligations within one year. Non-compliance can result in substantial fines, emphasizing the importance for businesses to prepare for the new regulations to mitigate risks and ensure lawful AI deployment.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itorialge.com/danish-responsible-ai-frameworks-key-facts/" TargetMode="External"/><Relationship Id="rId10" Type="http://schemas.openxmlformats.org/officeDocument/2006/relationships/hyperlink" Target="https://regulations.ai/regulations/denmark-summary" TargetMode="External"/><Relationship Id="rId11" Type="http://schemas.openxmlformats.org/officeDocument/2006/relationships/hyperlink" Target="https://digital.nemko.com/insights/denmarks-ai-governance-model-scale-ai-without-losing-trust-nemko-digital" TargetMode="External"/><Relationship Id="rId12" Type="http://schemas.openxmlformats.org/officeDocument/2006/relationships/hyperlink" Target="https://orsted.com/en/about-us/our-organisation/corporate-governance/data-ethics-report" TargetMode="External"/><Relationship Id="rId13" Type="http://schemas.openxmlformats.org/officeDocument/2006/relationships/hyperlink" Target="https://corporate.totalenergies.dk/data-ethics-policy" TargetMode="External"/><Relationship Id="rId14" Type="http://schemas.openxmlformats.org/officeDocument/2006/relationships/hyperlink" Target="https://www.cnbc.com/2024/11/13/denmark-lays-out-eu-ai-act-compliance-blueprint-with-microsoft-backing.html" TargetMode="External"/><Relationship Id="rId15" Type="http://schemas.openxmlformats.org/officeDocument/2006/relationships/hyperlink" Target="https://www.ey.com/en_dk/insights/public-policy/why-companies-must-prepare-now-for-the-new-eu-ai-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