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delays AI copyright reforms amid EU's broader data mining exceptions and industry calls for safeguarding creative industries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UK has stepped back from a previously favoured route for reforming copyright law to accommodate the training of artificial intelligence, opting instead for further evidence gathering and continued monitoring while industry and legislators on the Continent pursue a more interventionist path.</w:t>
      </w:r>
      <w:r/>
    </w:p>
    <w:p>
      <w:r/>
      <w:r>
        <w:t xml:space="preserve">According to the UK government’s consultation materials and its subsequent statement of progress, ministers now say they do not view “a broad copyright exception with opt-out” as their “preferred way forward”. The consultation, run jointly by the Department for Science, Innovation and Technology, the Intellectual Property Office and the Department for Culture, Media and Sport, set out control, access and transparency as its guiding objectives but left open a “do nothing” option alongside three possible intervention models. The government’s interim update in December 2025 signalled that a full report and economic impact assessment would follow. </w:t>
      </w:r>
      <w:r/>
    </w:p>
    <w:p>
      <w:r/>
      <w:r>
        <w:t>The choice to pause on immediate legislative change contrasts with regulatory developments in the EU, where the bloc’s framework already provides for a wider text and data mining (TDM) carve‑out that permits AI training unless a rights holder expressly opts out in a machine‑readable form. Alexander Bibi of Pinsent Masons observed that “EU law provides a broadly applicable text and data mining exception that enables AI training unless the rights holder explicitly exercises an opt‑out in a machine‑readable format,” adding that many major rights holders in the EU have already built licensing offers aimed at AI training customers. The EU position rests on a combination of the 2001 information society directive, the 2019 digital single market directive’s TDM rules and the 2024 AI Act’s transparency duties for providers of general‑purpose AI.</w:t>
      </w:r>
      <w:r/>
    </w:p>
    <w:p>
      <w:r/>
      <w:r>
        <w:t>The European Parliament’s recent non‑binding resolution has intensified debate in Brussels, urging tougher rights‑holder controls, exploration of an EUIPO opt‑out mechanism, stronger transparency requirements and examination of remuneration for past uses of protected works in training data. The European Commission and the Intellectual Property Helpdesk have previously highlighted that the 2019 directive introduced mandatory TDM exceptions while still allowing an opt‑out by rightholders, a compromise that shaped the current EU landscape.</w:t>
      </w:r>
      <w:r/>
    </w:p>
    <w:p>
      <w:r/>
      <w:r>
        <w:t>Within the UK, legal experts and legislators offer a different emphasis. A House of Lords committee report published in March 2026 warned that the government must choose between two AI futures and urged protection for the creative industries , which the report noted generated £124 billion in 2023 and employed 2.4 million people , favouring licensing‑based solutions to safeguard creators’ incomes and cultural capacity. Pinsent Masons commentators and peers have argued that the UK must balance competitiveness against the need to preserve its creative sector.</w:t>
      </w:r>
      <w:r/>
    </w:p>
    <w:p>
      <w:r/>
      <w:r>
        <w:t>Beyond training datasets, Westminster has signalled a shift on ownership of AI outputs. The government said it will continue to monitor the use and impact of the protections afforded to computer‑generated works under the 1988 Copyright, Designs and Patents Act but proposed removing those protections “in the absence of evidence of its ongoing value”. Pinsent Masons noted that aligning protection to “human involvement” mirrors the European droit d’auteur approach and raises practical questions about how much human contribution is required to meet a creativity threshold and how such input would be proven in disputes. Industry analysis of TDM exceptions in the EU shows that the opt‑out mechanism has already influenced how rights holders and licensors design commercial offers for AI developers.</w:t>
      </w:r>
      <w:r/>
    </w:p>
    <w:p>
      <w:r/>
      <w:r>
        <w:t>Previous UK moves to expand data‑mining rights for commercial use have illustrated the policy tensions at play: past reforms aimed at permitting computational analysis where lawful access exists were intended to lower barriers to innovation but sparked concern among content owners about loss of control and revenue streams. That debate will remain central as ministers gather further evidence and stakeholders press for either clearer licensing routes or broader exceptions.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9">
        <w:r>
          <w:rPr>
            <w:color w:val="0000EE"/>
            <w:u w:val="single"/>
          </w:rPr>
          <w:t>[1]</w:t>
        </w:r>
      </w:hyperlink>
      <w:r>
        <w:t xml:space="preserve">- Paragraph 5: </w:t>
      </w:r>
      <w:hyperlink r:id="rId9">
        <w:r>
          <w:rPr>
            <w:color w:val="0000EE"/>
            <w:u w:val="single"/>
          </w:rPr>
          <w:t>[1]</w:t>
        </w:r>
      </w:hyperlink>
      <w:r>
        <w:t xml:space="preserve">, </w:t>
      </w:r>
      <w:hyperlink r:id="rId11">
        <w:r>
          <w:rPr>
            <w:color w:val="0000EE"/>
            <w:u w:val="single"/>
          </w:rPr>
          <w:t>[3]</w:t>
        </w:r>
      </w:hyperlink>
      <w:r>
        <w:t xml:space="preserve">- Paragraph 6: </w:t>
      </w:r>
      <w:hyperlink r:id="rId15">
        <w:r>
          <w:rPr>
            <w:color w:val="0000EE"/>
            <w:u w:val="single"/>
          </w:rPr>
          <w:t>[7]</w:t>
        </w:r>
      </w:hyperlink>
      <w:r>
        <w:t xml:space="preserve">, </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https://www.pinsentmasons.com/out-law/news/uk-ai-copyright-plans-align-diverge-eu-position</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https://www.gov.uk/government/consultations/copyright-and-artificial-intelligence/copyright-and-artificial-intelligence</w:t>
        </w:r>
      </w:hyperlink>
      <w:r>
        <w:t xml:space="preserve"> - The UK government consulted on potential changes to copyright law between 17 December 2024 and 25 February 2025. The consultation paper, published jointly by the Department for Science, Innovation and Technology (DSIT), the Intellectual Property Office (IPO), and the Department for Culture, Media and Sport (DCMS), outlined three objectives for reforms in the area of copyright and AI training: control, access, and transparency. It also presented three broad options for intervention, as well as a 'do nothing' option. The consultation sought views on these options and individual aspects of a potential approach to AI training.</w:t>
      </w:r>
      <w:r/>
    </w:p>
    <w:p>
      <w:pPr>
        <w:pStyle w:val="ListNumber"/>
        <w:spacing w:line="240" w:lineRule="auto"/>
        <w:ind w:left="720"/>
      </w:pPr>
      <w:r/>
      <w:hyperlink r:id="rId11">
        <w:r>
          <w:rPr>
            <w:color w:val="0000EE"/>
            <w:u w:val="single"/>
          </w:rPr>
          <w:t>https://www.gov.uk/government/publications/copyright-and-artificial-intelligence-progress-report/copyright-and-artificial-intelligence-statement-of-progress-under-section-137-data-use-and-access-act</w:t>
        </w:r>
      </w:hyperlink>
      <w:r>
        <w:t xml:space="preserve"> - The UK government's Department for Science, Innovation and Technology (DSIT) and Department for Culture, Media and Sport (DCMS) published a joint Statement of Progress on 15 December 2025. This interim update outlines the government's work to date on copyright and AI, summarising the themes and structure of the forthcoming report and economic impact assessment. The government plans to publish the full report and impact assessment by 18 March 2026.</w:t>
      </w:r>
      <w:r/>
    </w:p>
    <w:p>
      <w:pPr>
        <w:pStyle w:val="ListNumber"/>
        <w:spacing w:line="240" w:lineRule="auto"/>
        <w:ind w:left="720"/>
      </w:pPr>
      <w:r/>
      <w:hyperlink r:id="rId12">
        <w:r>
          <w:rPr>
            <w:color w:val="0000EE"/>
            <w:u w:val="single"/>
          </w:rPr>
          <w:t>https://intellectual-property-helpdesk.ec.europa.eu/news-events/news/artificial-intelligence-and-copyright-use-generative-ai-tools-develop-new-content-2024-07-16-0_en</w:t>
        </w:r>
      </w:hyperlink>
      <w:r>
        <w:t xml:space="preserve"> - The European Commission has addressed two specific issues arising from the interaction between copyright and generative AI: potential copyright infringement by developers using protected materials to train algorithms, and the copyright protection and ownership of works created by or with the help of generative AI tools. The EU's Directive 2019/790/EU on copyright in the Digital Single Market introduced exceptions for data mining in the context of AI training, allowing lawful data mining for research organisations and institutions, provided they have lawful access to the works and the copyright owner has not expressly prohibited the use.</w:t>
      </w:r>
      <w:r/>
    </w:p>
    <w:p>
      <w:pPr>
        <w:pStyle w:val="ListNumber"/>
        <w:spacing w:line="240" w:lineRule="auto"/>
        <w:ind w:left="720"/>
      </w:pPr>
      <w:r/>
      <w:hyperlink r:id="rId14">
        <w:r>
          <w:rPr>
            <w:color w:val="0000EE"/>
            <w:u w:val="single"/>
          </w:rPr>
          <w:t>https://www.parliament.uk/business/lords/media-centre/house-of-lords-media-notices/2026/march-2026/uk-creative-industries-face-a-clear-and-present-danger-from-generative-ai-government-must-not-sacrifice-our-outstanding-creative-capacity-for-speculative-ai-gains/</w:t>
        </w:r>
      </w:hyperlink>
      <w:r>
        <w:t xml:space="preserve"> - In a report on AI and copyright published on 6 March 2026, the House of Lords Communications and Digital Committee stated that the UK government must choose between two AI futures. The committee emphasised the importance of protecting the UK's creative industries, which contributed £124 billion to the economy in 2023 and employed 2.4 million people. The report cautioned against changes to copyright that could undermine these industries, advocating for a licensing-based approach to AI development.</w:t>
      </w:r>
      <w:r/>
    </w:p>
    <w:p>
      <w:pPr>
        <w:pStyle w:val="ListNumber"/>
        <w:spacing w:line="240" w:lineRule="auto"/>
        <w:ind w:left="720"/>
      </w:pPr>
      <w:r/>
      <w:hyperlink r:id="rId13">
        <w:r>
          <w:rPr>
            <w:color w:val="0000EE"/>
            <w:u w:val="single"/>
          </w:rPr>
          <w:t>https://www.reedsmith.com/articles/entertainment-and-media-guide-to-ai/text-and-data-mining-in-eu/</w:t>
        </w:r>
      </w:hyperlink>
      <w:r>
        <w:t xml:space="preserve"> - The EU's Directive on Copyright in the Digital Single Market, adopted in 2019, introduced two mandatory exceptions under EU copyright law for text and data mining (TDM). The first exception applies to research and cultural organisations conducting TDM for scientific research purposes, provided they have lawful access to the works. The second exception applies to any beneficiary for any manner of use, but with a significant caveat: it may be overridden by an 'opt-out' from the rights holder, a concession introduced during the final stages of the Directive's adoption process.</w:t>
      </w:r>
      <w:r/>
    </w:p>
    <w:p>
      <w:pPr>
        <w:pStyle w:val="ListNumber"/>
        <w:spacing w:line="240" w:lineRule="auto"/>
        <w:ind w:left="720"/>
      </w:pPr>
      <w:r/>
      <w:hyperlink r:id="rId15">
        <w:r>
          <w:rPr>
            <w:color w:val="0000EE"/>
            <w:u w:val="single"/>
          </w:rPr>
          <w:t>https://www.dentons.com/en/insights/articles/2022/july/14/uk-government-announces-new-text-and-data-mining-copyright-exception</w:t>
        </w:r>
      </w:hyperlink>
      <w:r>
        <w:t xml:space="preserve"> - The UK government announced new provisions in copyright law to permit data mining and analysis of datasets for commercial use. Under the new law, where a third party has lawful access to a dataset, they will be permitted to run computational analysis (e.g., training AI networks) on that data. Data owners will not be allowed to restrict this right or charge additional licence fees for it, significantly impacting those who currently charge for such rights.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insentmasons.com/out-law/news/uk-ai-copyright-plans-align-diverge-eu-position" TargetMode="External"/><Relationship Id="rId10" Type="http://schemas.openxmlformats.org/officeDocument/2006/relationships/hyperlink" Target="https://www.gov.uk/government/consultations/copyright-and-artificial-intelligence/copyright-and-artificial-intelligence" TargetMode="External"/><Relationship Id="rId11" Type="http://schemas.openxmlformats.org/officeDocument/2006/relationships/hyperlink" Target="https://www.gov.uk/government/publications/copyright-and-artificial-intelligence-progress-report/copyright-and-artificial-intelligence-statement-of-progress-under-section-137-data-use-and-access-act" TargetMode="External"/><Relationship Id="rId12" Type="http://schemas.openxmlformats.org/officeDocument/2006/relationships/hyperlink" Target="https://intellectual-property-helpdesk.ec.europa.eu/news-events/news/artificial-intelligence-and-copyright-use-generative-ai-tools-develop-new-content-2024-07-16-0_en" TargetMode="External"/><Relationship Id="rId13" Type="http://schemas.openxmlformats.org/officeDocument/2006/relationships/hyperlink" Target="https://www.reedsmith.com/articles/entertainment-and-media-guide-to-ai/text-and-data-mining-in-eu/" TargetMode="External"/><Relationship Id="rId14" Type="http://schemas.openxmlformats.org/officeDocument/2006/relationships/hyperlink" Target="https://www.parliament.uk/business/lords/media-centre/house-of-lords-media-notices/2026/march-2026/uk-creative-industries-face-a-clear-and-present-danger-from-generative-ai-government-must-not-sacrifice-our-outstanding-creative-capacity-for-speculative-ai-gains/" TargetMode="External"/><Relationship Id="rId15" Type="http://schemas.openxmlformats.org/officeDocument/2006/relationships/hyperlink" Target="https://www.dentons.com/en/insights/articles/2022/july/14/uk-government-announces-new-text-and-data-mining-copyright-excep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