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Legal caution rises as AI-generated citations lead to self-reporting by barrister in family case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 barrister who acted as a lay advocate and later represented herself in a family welfare dispute has reported herself to the Bar Standards Board after including four cases in a skeleton argument that the court found did not exist and which she says were generated by an artificial intelligence tool. According to reporting by Legal Futures, Layla Parsons, an unregistered barrister who had been offering paid legal services to members of the public, withdrew the applications that relied on the spurious authorities. </w:t>
      </w:r>
      <w:r/>
    </w:p>
    <w:p>
      <w:r/>
      <w:r>
        <w:t xml:space="preserve">Recorder Howard, sitting at Bournemouth Family Court, decided to name Ms Parsons in his ruling despite her having self-referred to the regulator and her objection that publicity would expose her to harassment. The judge said her self-reporting was “the responsible” course of action but concluded there remained a public interest in identifying her because of the risk she might again offer legal services. </w:t>
      </w:r>
      <w:r/>
    </w:p>
    <w:p>
      <w:r/>
      <w:r>
        <w:t xml:space="preserve">The ruling records the judge’s concern that, notwithstanding her legal qualification, Ms Parsons “still does not really acknowledge or accept that her actions in not checking the citations and propositions she included in her skeleton argument were serious.” The judge treated her as a litigant in person for procedural purposes but emphasised that those who represent themselves are bound by the same duty not to mislead the court. </w:t>
      </w:r>
      <w:r/>
    </w:p>
    <w:p>
      <w:r/>
      <w:r>
        <w:t xml:space="preserve">The decision also notes evidence that Ms Parsons had been available to purchasers of legal document packages from an unnamed website, reinforcing the judge’s assessment that there was “a real and not fanciful possibility that Ms Parsons will in the future offer legal services to members of the public”. He said that factor, combined with what he described as her failure to grasp the seriousness of including unverified authorities, was “a strong and overwhelming factor in favour of naming Ms Parsons”. </w:t>
      </w:r>
      <w:r/>
    </w:p>
    <w:p>
      <w:r/>
      <w:r>
        <w:t xml:space="preserve">Beyond the individual case, legal regulators and tribunals have issued warnings about the risk that AI tools will produce fabricated authorities if outputs are not checked against reliable legal databases. The Upper Tribunal (Immigration and Asylum Chamber) has previously reprimanded a barrister after a fictitious judgment generated by ChatGPT was relied on in submissions and has urged practitioners to verify every citation to avoid regulatory referral or worse. Industry training guidance is increasingly stressing competencies in verifying AI outputs and documenting AI-assisted work. </w:t>
      </w:r>
      <w:r/>
    </w:p>
    <w:p>
      <w:r/>
      <w:r>
        <w:t xml:space="preserve">Recorder Howard said he had tried to limit publication of personal details to what was strictly necessary and rejected Ms Parsons’s argument that criticism of AI use risked discouraging disabled litigants in person from using assistive technologies. The case illustrates the tension courts face between protecting access to justice and ensuring the integrity of proceedings when litigants rely on novel tools. Local family law practitioners said such matters underline the importance of careful case management and verification. </w:t>
      </w:r>
      <w:r/>
    </w:p>
    <w:p>
      <w:r/>
      <w:r>
        <w:t xml:space="preserve">The judge concluded that naming Ms Parsons was necessary and proportionate, finding that the public interest outweighed the potential privacy risks. The episode adds to mounting judicial and regulatory guidance that legal professionals and lay representatives must exercise due diligence when using AI, and that failure to verify authorities can carry professional and regulatory consequences.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Paragraph 3: </w:t>
      </w:r>
      <w:hyperlink r:id="rId9">
        <w:r>
          <w:rPr>
            <w:color w:val="0000EE"/>
            <w:u w:val="single"/>
          </w:rPr>
          <w:t>[2]</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10">
        <w:r>
          <w:rPr>
            <w:color w:val="0000EE"/>
            <w:u w:val="single"/>
          </w:rPr>
          <w:t>[3]</w:t>
        </w:r>
      </w:hyperlink>
      <w:r>
        <w:t xml:space="preserve">, </w:t>
      </w:r>
      <w:hyperlink r:id="rId11">
        <w:r>
          <w:rPr>
            <w:color w:val="0000EE"/>
            <w:u w:val="single"/>
          </w:rPr>
          <w:t>[6]</w:t>
        </w:r>
      </w:hyperlink>
      <w:r>
        <w:t xml:space="preserve">- Paragraph 6: </w:t>
      </w:r>
      <w:hyperlink r:id="rId9">
        <w:r>
          <w:rPr>
            <w:color w:val="0000EE"/>
            <w:u w:val="single"/>
          </w:rPr>
          <w:t>[2]</w:t>
        </w:r>
      </w:hyperlink>
      <w:r>
        <w:t xml:space="preserve">, </w:t>
      </w:r>
      <w:hyperlink r:id="rId12">
        <w:r>
          <w:rPr>
            <w:color w:val="0000EE"/>
            <w:u w:val="single"/>
          </w:rPr>
          <w:t>[4]</w:t>
        </w:r>
      </w:hyperlink>
      <w:r>
        <w:t xml:space="preserve">- Paragraph 7: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[6]</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https://www.legalfutures.co.uk/latest-news/barrister-self-reports-to-bsb-after-citing-fake-cases-in-skeleton</w:t>
        </w:r>
      </w:hyperlink>
      <w:r>
        <w:t xml:space="preserve"> - Please view link - unable to able to access data</w:t>
      </w:r>
      <w:r/>
    </w:p>
    <w:p>
      <w:pPr>
        <w:pStyle w:val="ListNumber"/>
        <w:spacing w:line="240" w:lineRule="auto"/>
        <w:ind w:left="720"/>
      </w:pPr>
      <w:r/>
      <w:hyperlink r:id="rId9">
        <w:r>
          <w:rPr>
            <w:color w:val="0000EE"/>
            <w:u w:val="single"/>
          </w:rPr>
          <w:t>https://www.legalfutures.co.uk/latest-news/barrister-self-reports-to-bsb-after-citing-fake-cases-in-skeleton</w:t>
        </w:r>
      </w:hyperlink>
      <w:r>
        <w:t xml:space="preserve"> - Layla Parsons, an unregistered barrister, self-reported to the Bar Standards Board after submitting a skeleton argument to the High Court that cited four non-existent cases generated by artificial intelligence. Acting as a lay advocate and later as a litigant in person in a child welfare case, Parsons withdrew her applications. Despite her self-reporting, Recorder Howard in Bournemouth Family Court named her in his ruling, emphasising the importance of honesty and competence in legal proceedings. The judge noted Parsons' failure to acknowledge the seriousness of misleading the court and expressed concern over her minimisation of the issue. He also highlighted the potential risks of criticising AI use, suggesting it could set a harmful precedent for disabled litigants and discourage access to justice. The case underscores the necessity for legal professionals to verify AI-generated information to maintain the integrity of the legal process.</w:t>
      </w:r>
      <w:r/>
    </w:p>
    <w:p>
      <w:pPr>
        <w:pStyle w:val="ListNumber"/>
        <w:spacing w:line="240" w:lineRule="auto"/>
        <w:ind w:left="720"/>
      </w:pPr>
      <w:r/>
      <w:hyperlink r:id="rId10">
        <w:r>
          <w:rPr>
            <w:color w:val="0000EE"/>
            <w:u w:val="single"/>
          </w:rPr>
          <w:t>https://completeaitraining.com/news/chatgpt-can-invent-cases-upper-tribunal-warns-lawyers-to/</w:t>
        </w:r>
      </w:hyperlink>
      <w:r>
        <w:t xml:space="preserve"> - The Upper Tribunal (Immigration and Asylum Chamber) issued a warning to lawyers about the risks of AI-generated citations after a barrister cited a fictitious Court of Appeal judgment produced by ChatGPT. In the Hamid judgment published in September 2025, the Tribunal referred Mr Muhammad Mujeebur Rahman to the Bar Standards Board for breaching core duties of honesty, integrity, and competence. The Tribunal emphasised the importance of verifying every case citation against reputable databases and cautioned that misuse leading to false authorities could result in regulatory referrals or even criminal proceedings. The guidance serves as a reminder for legal professionals to exercise due diligence when incorporating AI-generated content into legal documents.</w:t>
      </w:r>
      <w:r/>
    </w:p>
    <w:p>
      <w:pPr>
        <w:pStyle w:val="ListNumber"/>
        <w:spacing w:line="240" w:lineRule="auto"/>
        <w:ind w:left="720"/>
      </w:pPr>
      <w:r/>
      <w:hyperlink r:id="rId12">
        <w:r>
          <w:rPr>
            <w:color w:val="0000EE"/>
            <w:u w:val="single"/>
          </w:rPr>
          <w:t>https://www.trethowans.com/landing-page/family-law-bournemouth/</w:t>
        </w:r>
      </w:hyperlink>
      <w:r>
        <w:t xml:space="preserve"> - Trethowans is a law firm based in Bournemouth, specialising in family law services. Their team offers expert legal guidance with empathy and care, focusing on constructive solutions for family disputes. Services include divorce and separation, child arrangements, civil partnerships, cohabitation, prenuptial and postnuptial agreements, surrogacy, and adoption. The firm is recognised by leading organisations and offers free initial consultations.</w:t>
      </w:r>
      <w:r/>
    </w:p>
    <w:p>
      <w:pPr>
        <w:pStyle w:val="ListNumber"/>
        <w:spacing w:line="240" w:lineRule="auto"/>
        <w:ind w:left="720"/>
      </w:pPr>
      <w:r/>
      <w:hyperlink r:id="rId14">
        <w:r>
          <w:rPr>
            <w:color w:val="0000EE"/>
            <w:u w:val="single"/>
          </w:rPr>
          <w:t>https://courtlistings.co.uk/crown-court-listings/bournemouth</w:t>
        </w:r>
      </w:hyperlink>
      <w:r>
        <w:t xml:space="preserve"> - CourtListings.co.uk provides daily listings for Bournemouth Crown Court, detailing scheduled hearings, including case types, courtrooms, judges, and case numbers. The platform offers information on upcoming and past court sessions, assisting legal professionals and the public in staying informed about court proceedings. For instance, on January 16, 2026, the site listed various hearings, including trials and case management sessions, with specific details about each case.</w:t>
      </w:r>
      <w:r/>
    </w:p>
    <w:p>
      <w:pPr>
        <w:pStyle w:val="ListNumber"/>
        <w:spacing w:line="240" w:lineRule="auto"/>
        <w:ind w:left="720"/>
      </w:pPr>
      <w:r/>
      <w:hyperlink r:id="rId11">
        <w:r>
          <w:rPr>
            <w:color w:val="0000EE"/>
            <w:u w:val="single"/>
          </w:rPr>
          <w:t>https://www.futureskillsorganisation.com.au/wp-content/uploads/2026/02/CVIG-Appendix-for-Digital-Capability-Units-of-Competency.pdf</w:t>
        </w:r>
      </w:hyperlink>
      <w:r>
        <w:t xml:space="preserve"> - The BSB Training Package CVIG Appendix outlines digital capability units of competency, including BSBXXX106 – Develop Basic Digital Artificial Intelligence (AI) Skills. This unit focuses on adapting AI tool usage based on workplace protocols, supervisor feedback, and verification requirements. It covers interpreting AI-generated outputs, documenting AI-assisted tasks, and discussing AI outputs with supervisors. The unit aims to equip learners with the skills to use AI tools effectively and responsibly in a professional setting.</w:t>
      </w:r>
      <w:r/>
    </w:p>
    <w:p>
      <w:pPr>
        <w:pStyle w:val="ListNumber"/>
        <w:spacing w:line="240" w:lineRule="auto"/>
        <w:ind w:left="720"/>
      </w:pPr>
      <w:r/>
      <w:hyperlink r:id="rId15">
        <w:r>
          <w:rPr>
            <w:color w:val="0000EE"/>
            <w:u w:val="single"/>
          </w:rPr>
          <w:t>https://www.youngwilders.org/_files/ugd/9f1e86_3c2f0aae36eb484cb7586f81e555908f.pdf</w:t>
        </w:r>
      </w:hyperlink>
      <w:r>
        <w:t xml:space="preserve"> - The 2024-2025 Impact Report from Young Wilders provides an overview of the organisation's financials, staffing, and activities. The report highlights total income of £213k, with 19% self-generated, and details the composition of the team, including full-time and part-time staff. It also outlines the roles of key personnel, such as Co-Directors and Chief Technical Officer. The report reflects on the organisation's growth and impact over the 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egalfutures.co.uk/latest-news/barrister-self-reports-to-bsb-after-citing-fake-cases-in-skeleton" TargetMode="External"/><Relationship Id="rId10" Type="http://schemas.openxmlformats.org/officeDocument/2006/relationships/hyperlink" Target="https://completeaitraining.com/news/chatgpt-can-invent-cases-upper-tribunal-warns-lawyers-to/" TargetMode="External"/><Relationship Id="rId11" Type="http://schemas.openxmlformats.org/officeDocument/2006/relationships/hyperlink" Target="https://www.futureskillsorganisation.com.au/wp-content/uploads/2026/02/CVIG-Appendix-for-Digital-Capability-Units-of-Competency.pdf" TargetMode="External"/><Relationship Id="rId12" Type="http://schemas.openxmlformats.org/officeDocument/2006/relationships/hyperlink" Target="https://www.trethowans.com/landing-page/family-law-bournemouth/" TargetMode="External"/><Relationship Id="rId13" Type="http://schemas.openxmlformats.org/officeDocument/2006/relationships/hyperlink" Target="https://www.noahwire.com" TargetMode="External"/><Relationship Id="rId14" Type="http://schemas.openxmlformats.org/officeDocument/2006/relationships/hyperlink" Target="https://courtlistings.co.uk/crown-court-listings/bournemouth" TargetMode="External"/><Relationship Id="rId15" Type="http://schemas.openxmlformats.org/officeDocument/2006/relationships/hyperlink" Target="https://www.youngwilders.org/_files/ugd/9f1e86_3c2f0aae36eb484cb7586f81e555908f.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