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focus on data sovereignty shifts to control of AI datasets amid evolving regulations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Europe’s scramble for digital sovereignty is increasingly centring on an overlooked asset: the datasets that feed artificial intelligence. As models become commoditised, control over the underlying data is emerging as the decisive commercial advantage for companies seeking durable differentiation in an AI-driven economy. According to TechRadar Pro, policymakers and businesses are already reshaping architectures to prioritise data locality, performance and compliance as foundational elements of national and corporate strategy. </w:t>
      </w:r>
      <w:hyperlink r:id="rId9">
        <w:r>
          <w:rPr>
            <w:color w:val="0000EE"/>
            <w:u w:val="single"/>
          </w:rPr>
          <w:t>[2]</w:t>
        </w:r>
      </w:hyperlink>
      <w:r/>
    </w:p>
    <w:p>
      <w:r/>
      <w:r>
        <w:t xml:space="preserve">Countly, a product analytics platform founded in 2013 and built on an open-source, self-hosted model, positions itself as an early entrant in that shift. The company enables organisations to capture and analyse operational and product-usage datasets within their own infrastructure, a design intended to keep sensitive behavioural data from being routed through third-party services. Countly’s blog describes self-hosting and private cloud deployments as core means to eliminate vendor monetisation of analytics and to retain full custody of data. </w:t>
      </w:r>
      <w:hyperlink r:id="rId10">
        <w:r>
          <w:rPr>
            <w:color w:val="0000EE"/>
            <w:u w:val="single"/>
          </w:rPr>
          <w:t>[6]</w:t>
        </w:r>
      </w:hyperlink>
      <w:r/>
    </w:p>
    <w:p>
      <w:r/>
      <w:r>
        <w:t xml:space="preserve">Onur Alp Soner, Countly’s CEO and co-founder, frames the matter bluntly: "Basically, our main focus is data control and data ownership. We want companies to have complete control over the data they collect , that’s why we’ve existed since day one." He traces Countly’s mission back to a time when businesses increasingly traded detailed user telemetry for free analytics and advertising models they could not control. That history, he argues, makes data ownership a strategic rather than merely regulatory concern. </w:t>
      </w:r>
      <w:hyperlink r:id="rId11">
        <w:r>
          <w:rPr>
            <w:color w:val="0000EE"/>
            <w:u w:val="single"/>
          </w:rPr>
          <w:t>[1]</w:t>
        </w:r>
      </w:hyperlink>
      <w:hyperlink r:id="rId10">
        <w:r>
          <w:rPr>
            <w:color w:val="0000EE"/>
            <w:u w:val="single"/>
          </w:rPr>
          <w:t>[6]</w:t>
        </w:r>
      </w:hyperlink>
      <w:r/>
    </w:p>
    <w:p>
      <w:r/>
      <w:r>
        <w:t xml:space="preserve">Industry analysis suggests Soner’s view is gaining traction because AI materially raises the economic value of proprietary datasets. TechRadar Pro notes that the EU’s evolving regulatory landscape, from GDPR through the Data Governance Act to the EU AI Act, is accelerating the move toward local, high-performance data environments and hybrid infrastructures that balance sovereign control with cloud flexibility. Those infrastructure shifts, metro-edge data centres, AI-optimised storage and attention to data locality, are being promoted as necessary to meet both compliance and latency demands of modern AI workloads. </w:t>
      </w:r>
      <w:hyperlink r:id="rId9">
        <w:r>
          <w:rPr>
            <w:color w:val="0000EE"/>
            <w:u w:val="single"/>
          </w:rPr>
          <w:t>[2]</w:t>
        </w:r>
      </w:hyperlink>
      <w:hyperlink r:id="rId12">
        <w:r>
          <w:rPr>
            <w:color w:val="0000EE"/>
            <w:u w:val="single"/>
          </w:rPr>
          <w:t>[5]</w:t>
        </w:r>
      </w:hyperlink>
      <w:r/>
    </w:p>
    <w:p>
      <w:r/>
      <w:r>
        <w:t xml:space="preserve">That regulatory momentum also reframes data governance as an operational imperative. Experts advise treating governance as a continuous service: tracking lineage, monitoring quality, securing consent and auditing model behaviour for bias and drift. TechRadar Pro emphasises five governance pillars, quality, security, transparency, ethics and compliance, and warns that few organisations yet possess the maturity to apply them consistently to generative and agentic AI systems. Boards, the analysis argues, must regard governance as a strategic asset if firms are to scale trusted AI. </w:t>
      </w:r>
      <w:hyperlink r:id="rId13">
        <w:r>
          <w:rPr>
            <w:color w:val="0000EE"/>
            <w:u w:val="single"/>
          </w:rPr>
          <w:t>[3]</w:t>
        </w:r>
      </w:hyperlink>
      <w:r/>
    </w:p>
    <w:p>
      <w:r/>
      <w:r>
        <w:t xml:space="preserve">The EU AI Act, due to come fully into force in August 2026, is sharpening the calculus. Reporting suggests that the regulation’s risk-based requirements for transparency, verification and human oversight make private or self-hosted AI implementations more attractive to firms with sensitive data. TechRadar Pro recommends private models and controlled deployments to meet obligations under the Act and to reduce exposure to reputational and financial penalties. For many businesses, selecting private AI and tighter data controls is as much about risk management as about competitive strategy. </w:t>
      </w:r>
      <w:hyperlink r:id="rId14">
        <w:r>
          <w:rPr>
            <w:color w:val="0000EE"/>
            <w:u w:val="single"/>
          </w:rPr>
          <w:t>[4]</w:t>
        </w:r>
      </w:hyperlink>
      <w:r/>
    </w:p>
    <w:p>
      <w:r/>
      <w:r>
        <w:t xml:space="preserve">Yet Europe faces practical constraints in realising full-stack sovereignty. Soner admits that even vendors building for sovereignty rely on foundational technologies produced outside Europe. "There’s no way around it. Take databases , almost all major ones are US-based. So the question isn’t whether you use external technology, it’s how you use it. It’s about layering." That pragmatic layering, keeping sensitive flows in-house while utilising global compute or tooling selectively, is increasingly presented as the realistic path to meaningful data control. </w:t>
      </w:r>
      <w:hyperlink r:id="rId11">
        <w:r>
          <w:rPr>
            <w:color w:val="0000EE"/>
            <w:u w:val="single"/>
          </w:rPr>
          <w:t>[1]</w:t>
        </w:r>
      </w:hyperlink>
      <w:r/>
    </w:p>
    <w:p>
      <w:r/>
      <w:r>
        <w:t xml:space="preserve">Translating sovereignty into customer value is critical if firms are to adopt less convenient or more costly architecture. Soner points to Apple as an example of making privacy a tangible feature: "They communicate clearly: your data stays on your device. That’s the right approach. It’s not about saying, “We’re a German company, we follow strict regulations.” Customers don’t care about that. They care about what’s in it for them." Framing data ownership in terms of user benefit, rather than compliance PR, is a recurring recommendation across industry writing. </w:t>
      </w:r>
      <w:hyperlink r:id="rId11">
        <w:r>
          <w:rPr>
            <w:color w:val="0000EE"/>
            <w:u w:val="single"/>
          </w:rPr>
          <w:t>[1]</w:t>
        </w:r>
      </w:hyperlink>
      <w:r/>
    </w:p>
    <w:p>
      <w:r/>
      <w:r>
        <w:t xml:space="preserve">For startups and scale-ups the trade-offs can be acute: free, hosted tools accelerate development but may leak the data that would become a firm’s lasting advantage. Soner warns that without disciplined decisions around data flows firms risk outsourcing their long-term moat. "Your data is your only moat", he says, arguing that AI amplifies whatever quality of data a business possesses. Building data ownership into culture and architecture early can make control a default operational posture rather than an expensive retrofit. </w:t>
      </w:r>
      <w:hyperlink r:id="rId11">
        <w:r>
          <w:rPr>
            <w:color w:val="0000EE"/>
            <w:u w:val="single"/>
          </w:rPr>
          <w:t>[1]</w:t>
        </w:r>
      </w:hyperlink>
      <w:r/>
    </w:p>
    <w:p>
      <w:r/>
      <w:r>
        <w:t xml:space="preserve">If Europe is to retain companies that build valuable datasets, policy and capital must align. Analysts argue that improving regional infrastructure, data centres, networking and electricity, must be matched by funding, incentives and ecosystem support to persuade founders to stay. TechRadar Pro highlights the rise of regional metro-edge facilities and hybrid models as part of a pragmatic European strategy that converts regulatory constraints into competitive leverage. The hope is that by combining governance-first design, sovereign storage and selective use of external compute, European firms can capture value from data without forgoing scale or innovation. </w:t>
      </w:r>
      <w:hyperlink r:id="rId9">
        <w:r>
          <w:rPr>
            <w:color w:val="0000EE"/>
            <w:u w:val="single"/>
          </w:rPr>
          <w:t>[2]</w:t>
        </w:r>
      </w:hyperlink>
      <w:hyperlink r:id="rId12">
        <w:r>
          <w:rPr>
            <w:color w:val="0000EE"/>
            <w:u w:val="single"/>
          </w:rPr>
          <w:t>[5]</w:t>
        </w:r>
      </w:hyperlink>
      <w:r/>
    </w:p>
    <w:p>
      <w:pPr>
        <w:pStyle w:val="Heading3"/>
      </w:pPr>
      <w:r>
        <w:t>Source Reference Map</w:t>
      </w:r>
      <w:r/>
    </w:p>
    <w:p>
      <w:r/>
      <w:r>
        <w:rPr>
          <w:b/>
        </w:rPr>
        <w:t>Inspired by headline at:</w:t>
      </w:r>
      <w:r>
        <w:t xml:space="preserve"> </w:t>
      </w:r>
      <w:hyperlink r:id="rId11">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10">
        <w:r>
          <w:rPr>
            <w:color w:val="0000EE"/>
            <w:u w:val="single"/>
          </w:rPr>
          <w:t>[6]</w:t>
        </w:r>
      </w:hyperlink>
      <w:r>
        <w:t xml:space="preserve">- Paragraph 3: </w:t>
      </w:r>
      <w:hyperlink r:id="rId11">
        <w:r>
          <w:rPr>
            <w:color w:val="0000EE"/>
            <w:u w:val="single"/>
          </w:rPr>
          <w:t>[1]</w:t>
        </w:r>
      </w:hyperlink>
      <w:r>
        <w:t>,</w:t>
      </w:r>
      <w:hyperlink r:id="rId10">
        <w:r>
          <w:rPr>
            <w:color w:val="0000EE"/>
            <w:u w:val="single"/>
          </w:rPr>
          <w:t>[6]</w:t>
        </w:r>
      </w:hyperlink>
      <w:r>
        <w:t xml:space="preserve">- Paragraph 4: </w:t>
      </w:r>
      <w:hyperlink r:id="rId9">
        <w:r>
          <w:rPr>
            <w:color w:val="0000EE"/>
            <w:u w:val="single"/>
          </w:rPr>
          <w:t>[2]</w:t>
        </w:r>
      </w:hyperlink>
      <w:r>
        <w:t>,</w:t>
      </w:r>
      <w:hyperlink r:id="rId12">
        <w:r>
          <w:rPr>
            <w:color w:val="0000EE"/>
            <w:u w:val="single"/>
          </w:rPr>
          <w:t>[5]</w:t>
        </w:r>
      </w:hyperlink>
      <w:r>
        <w:t xml:space="preserve">- Paragraph 5: </w:t>
      </w:r>
      <w:hyperlink r:id="rId13">
        <w:r>
          <w:rPr>
            <w:color w:val="0000EE"/>
            <w:u w:val="single"/>
          </w:rPr>
          <w:t>[3]</w:t>
        </w:r>
      </w:hyperlink>
      <w:r>
        <w:t xml:space="preserve">- Paragraph 6: </w:t>
      </w:r>
      <w:hyperlink r:id="rId14">
        <w:r>
          <w:rPr>
            <w:color w:val="0000EE"/>
            <w:u w:val="single"/>
          </w:rPr>
          <w:t>[4]</w:t>
        </w:r>
      </w:hyperlink>
      <w:r>
        <w:t xml:space="preserve">- Paragraph 7: </w:t>
      </w:r>
      <w:hyperlink r:id="rId11">
        <w:r>
          <w:rPr>
            <w:color w:val="0000EE"/>
            <w:u w:val="single"/>
          </w:rPr>
          <w:t>[1]</w:t>
        </w:r>
      </w:hyperlink>
      <w:r>
        <w:t xml:space="preserve">- Paragraph 8: </w:t>
      </w:r>
      <w:hyperlink r:id="rId11">
        <w:r>
          <w:rPr>
            <w:color w:val="0000EE"/>
            <w:u w:val="single"/>
          </w:rPr>
          <w:t>[1]</w:t>
        </w:r>
      </w:hyperlink>
      <w:r>
        <w:t>,</w:t>
      </w:r>
      <w:hyperlink r:id="rId10">
        <w:r>
          <w:rPr>
            <w:color w:val="0000EE"/>
            <w:u w:val="single"/>
          </w:rPr>
          <w:t>[6]</w:t>
        </w:r>
      </w:hyperlink>
      <w:r>
        <w:t xml:space="preserve">- Paragraph 9: </w:t>
      </w:r>
      <w:hyperlink r:id="rId9">
        <w:r>
          <w:rPr>
            <w:color w:val="0000EE"/>
            <w:u w:val="single"/>
          </w:rPr>
          <w:t>[2]</w:t>
        </w:r>
      </w:hyperlink>
      <w:r>
        <w:t>,</w:t>
      </w:r>
      <w:hyperlink r:id="rId12">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1">
        <w:r>
          <w:rPr>
            <w:color w:val="0000EE"/>
            <w:u w:val="single"/>
          </w:rPr>
          <w:t>https://tech.eu/2026/04/01/the-missing-layer-in-europes-ai-strategy-data-ownership/</w:t>
        </w:r>
      </w:hyperlink>
      <w:r>
        <w:t xml:space="preserve"> - Please view link - unable to able to access data</w:t>
      </w:r>
      <w:r/>
    </w:p>
    <w:p>
      <w:pPr>
        <w:pStyle w:val="ListNumber"/>
        <w:spacing w:line="240" w:lineRule="auto"/>
        <w:ind w:left="720"/>
      </w:pPr>
      <w:r/>
      <w:hyperlink r:id="rId9">
        <w:r>
          <w:rPr>
            <w:color w:val="0000EE"/>
            <w:u w:val="single"/>
          </w:rPr>
          <w:t>https://www.techradar.com/pro/how-ai-digital-sovereignty-and-data-localization-are-reshaping-european-data-strategies</w:t>
        </w:r>
      </w:hyperlink>
      <w:r>
        <w:t xml:space="preserve"> - This article explores how AI, digital sovereignty, and data localization are reshaping European data strategies. As AI becomes central to innovation across industries, European organizations face challenges due to outdated infrastructure that cannot handle the scale and performance demands of modern AI workloads. In response, Europe’s regulatory shift—through frameworks like GDPR, the Data Governance Act, and the EU AI Act—has amplified the need for localized, compliant, and high-performance data environments. To meet these demands, companies are increasingly adopting strategies that prioritize data locality, scalability, and hybrid ecosystems. Metro-edge data centers are rising across the EMEA region, especially in emerging hubs such as Oslo and Lisbon, to support low-latency AI operations while ensuring regulatory compliance. Investments in scalable storage (e.g., AI-optimized HDDs and JBOD arrays) are also crucial to manage the vast and varied data AI systems require. Enterprises are urged to modernize architecture by designing for data locality, investing in high-capacity storage, and building ecosystems that balance data sovereignty with the flexibility of public cloud compute. These architectural shifts are foundational to Europe’s evolving digital strategy, aiming for competitive, compliant, and future-ready AI infrastructures.</w:t>
      </w:r>
      <w:r/>
    </w:p>
    <w:p>
      <w:pPr>
        <w:pStyle w:val="ListNumber"/>
        <w:spacing w:line="240" w:lineRule="auto"/>
        <w:ind w:left="720"/>
      </w:pPr>
      <w:r/>
      <w:hyperlink r:id="rId13">
        <w:r>
          <w:rPr>
            <w:color w:val="0000EE"/>
            <w:u w:val="single"/>
          </w:rPr>
          <w:t>https://www.techradar.com/pro/what-is-data-governance-and-why-is-it-crucial-for-successful-ai-projects</w:t>
        </w:r>
      </w:hyperlink>
      <w:r>
        <w:t xml:space="preserve"> - This article from TechRadar Pro emphasizes the critical role of data governance in driving successful and trusted AI deployments, especially in generative and agentic AI systems. While enterprise AI adoption is rapidly growing, a majority of organizations still lack robust data governance practices, leading to breakdowns in data quality, security, and compliance. Effective data governance entails continuous oversight of data input (lineage, quality, consent), model behavior (bias, drift, transparency), and AI outputs (privacy, jurisdiction, policy use). Generative AI introduces risks like misinformation and intellectual property issues, whereas agentic AI, which operates autonomously, magnifies the consequences of data errors. The article outlines five governance pillars: quality and reliability, security and privacy, transparency and explainability, ethics and fairness, and compliance readiness. However, few organizations have mature governance frameworks. Leaders must integrate governance directly into AI platforms—treating it not as a one-off policy but as a continuous, reusable service. Autonomous agents can assist in governance but must be programmed with ethical, testable principles. Ultimately, data governance should be seen as a strategic asset—a core “operating system” for trust in enterprise AI—meriting board-level attention and investment to secure scaled, responsible innovation.</w:t>
      </w:r>
      <w:r/>
    </w:p>
    <w:p>
      <w:pPr>
        <w:pStyle w:val="ListNumber"/>
        <w:spacing w:line="240" w:lineRule="auto"/>
        <w:ind w:left="720"/>
      </w:pPr>
      <w:r/>
      <w:hyperlink r:id="rId14">
        <w:r>
          <w:rPr>
            <w:color w:val="0000EE"/>
            <w:u w:val="single"/>
          </w:rPr>
          <w:t>https://www.techradar.com/pro/why-data-sovereignty-is-essential-to-help-businesses-prepare-for-impending-ai-regulation</w:t>
        </w:r>
      </w:hyperlink>
      <w:r>
        <w:t xml:space="preserve"> - The article emphasizes the importance of data sovereignty in helping businesses prepare for evolving AI regulations, particularly the upcoming EU AI Act set to take effect in August 2026. This regulation introduces a risk-based framework requiring transparency, verification, and human oversight for any AI system used within the EU. Non-compliance, especially in high-risk scenarios, can result in severe reputational and financial consequences. Data sovereignty is described as critical not just for compliance but for ensuring data control and protecting sensitive information. More than 40% of business leaders are reevaluating AI security measures to address compliance risks. The article strongly advocates for the use of private AI models over public ones, as they allow companies to maintain full control, ensure data is not shared or misused, and support customization and secure governance. Private AI solutions help organizations meet the demands of the EU AI Act, GDPR, and other privacy laws through features like encryption, access controls, and human oversight. By embedding private AI into infrastructure and adopting robust compliance frameworks now, businesses can stay ahead of regulatory changes, enhance transparency, reduce risk, and foster innovation confidently.</w:t>
      </w:r>
      <w:r/>
    </w:p>
    <w:p>
      <w:pPr>
        <w:pStyle w:val="ListNumber"/>
        <w:spacing w:line="240" w:lineRule="auto"/>
        <w:ind w:left="720"/>
      </w:pPr>
      <w:r/>
      <w:hyperlink r:id="rId12">
        <w:r>
          <w:rPr>
            <w:color w:val="0000EE"/>
            <w:u w:val="single"/>
          </w:rPr>
          <w:t>https://www.techradar.com/pro/regional-data-sovereignty-in-the-age-of-ai-balancing-innovation-and-regulation</w:t>
        </w:r>
      </w:hyperlink>
      <w:r>
        <w:t xml:space="preserve"> - The article 'Regional data sovereignty in the age of AI: Balancing innovation and regulation' explores the growing tension between technological innovation and regional data governance in the AI era. As artificial intelligence proliferates, data sovereignty—concerning where data is stored, processed, and controlled—has become a strategic imperative. Governments are intensifying regulations to safeguard privacy, infrastructure, and national interests, with predictions that by 2027, 35% of countries will demand localized AI platforms. The article contrasts global approaches: Europe embeds sovereignty within strict regulations like GDPR, prioritizing operational control and sovereign cloud models, while the U.S. leans toward innovation with sector-specific frameworks. Asia presents a diverse regulatory landscape requiring adaptable, region-sensitive strategies. To navigate these challenges, enterprises are embracing sovereign AI and hybrid cloud architectures that uphold regional mandates while sustaining performance. AI-ready storage platforms, equipped with semantic indexing, API-first design, and zero-trust security, are key to managing data intelligently. Alongside concerns over rising public cloud costs, many organizations are considering private and hybrid infrastructures for better control and resilience. Ultimately, organizations that build AI infrastructures with regulatory flexibility and compliance in mind stand to turn legal complexity into a strategic advantage, echoing the innovative precision required by historic challenges like Apollo 13.</w:t>
      </w:r>
      <w:r/>
    </w:p>
    <w:p>
      <w:pPr>
        <w:pStyle w:val="ListNumber"/>
        <w:spacing w:line="240" w:lineRule="auto"/>
        <w:ind w:left="720"/>
      </w:pPr>
      <w:r/>
      <w:hyperlink r:id="rId10">
        <w:r>
          <w:rPr>
            <w:color w:val="0000EE"/>
            <w:u w:val="single"/>
          </w:rPr>
          <w:t>https://countly.com/blog/data-ownership</w:t>
        </w:r>
      </w:hyperlink>
      <w:r>
        <w:t xml:space="preserve"> - This blog post discusses the importance of data ownership and what companies often get wrong about it. It emphasizes that full data ownership through self-hosting and private cloud deployment is crucial. Unlike standard SaaS analytics platforms that process data externally, Countly offers total control over where and how data is stored. Companies can choose to deploy on a private cloud with full ownership and control or self-host on their own infrastructure for maximum data sovereignty. The post highlights that with Countly, data remains inside the company's infrastructure and is entirely under control, eliminating hidden data monetization, vendor lock-in, or exposure to third parties. The article also discusses how Countly's self-hosting option enhances data security and control, comparing it to secure military storage protocols where sensitive information is stored on-premises to dictate security measures.</w:t>
      </w:r>
      <w:r/>
    </w:p>
    <w:p>
      <w:pPr>
        <w:pStyle w:val="ListNumber"/>
        <w:spacing w:line="240" w:lineRule="auto"/>
        <w:ind w:left="720"/>
      </w:pPr>
      <w:r/>
      <w:hyperlink r:id="rId16">
        <w:r>
          <w:rPr>
            <w:color w:val="0000EE"/>
            <w:u w:val="single"/>
          </w:rPr>
          <w:t>https://countly.com/blog/is-your-analytics-platform-still-safe-for-2026</w:t>
        </w:r>
      </w:hyperlink>
      <w:r>
        <w:t xml:space="preserve"> - This article addresses the evolving expectations of data control, compliance, and security in analytics platforms as we approach 2026. It poses seven questions to assess whether current analytics setups are still appropriate for long-term scalability and risk control. One of the key questions is about the physical storage location of analytics data, highlighting that many teams are unsure where their data resides when using fully hosted SaaS tools. The article emphasizes the importance of understanding data storage locations, especially when operating in regulated sectors or managing IP-sensitive product data. It suggests that organizations should modernize their architecture by designing for data locality, investing in high-capacity storage, and building ecosystems that balance data sovereignty with the flexibility of public cloud compute. These considerations are foundational to Europe's evolving digital strategy, aiming for competitive, compliant, and future-ready AI infrastructures.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pro/how-ai-digital-sovereignty-and-data-localization-are-reshaping-european-data-strategies" TargetMode="External"/><Relationship Id="rId10" Type="http://schemas.openxmlformats.org/officeDocument/2006/relationships/hyperlink" Target="https://countly.com/blog/data-ownership" TargetMode="External"/><Relationship Id="rId11" Type="http://schemas.openxmlformats.org/officeDocument/2006/relationships/hyperlink" Target="https://tech.eu/2026/04/01/the-missing-layer-in-europes-ai-strategy-data-ownership/" TargetMode="External"/><Relationship Id="rId12" Type="http://schemas.openxmlformats.org/officeDocument/2006/relationships/hyperlink" Target="https://www.techradar.com/pro/regional-data-sovereignty-in-the-age-of-ai-balancing-innovation-and-regulation" TargetMode="External"/><Relationship Id="rId13" Type="http://schemas.openxmlformats.org/officeDocument/2006/relationships/hyperlink" Target="https://www.techradar.com/pro/what-is-data-governance-and-why-is-it-crucial-for-successful-ai-projects" TargetMode="External"/><Relationship Id="rId14" Type="http://schemas.openxmlformats.org/officeDocument/2006/relationships/hyperlink" Target="https://www.techradar.com/pro/why-data-sovereignty-is-essential-to-help-businesses-prepare-for-impending-ai-regulation" TargetMode="External"/><Relationship Id="rId15" Type="http://schemas.openxmlformats.org/officeDocument/2006/relationships/hyperlink" Target="https://www.noahwire.com" TargetMode="External"/><Relationship Id="rId16" Type="http://schemas.openxmlformats.org/officeDocument/2006/relationships/hyperlink" Target="https://countly.com/blog/is-your-analytics-platform-still-safe-for-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