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Bangladesh NGO digital overhaul: embracing responsible AI to enhance service delivery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 orientation workshop in Dhaka unveiled a programme of digital reforms and responsible artificial intelligence aimed at modernising how non-governmental organisations operate across Bangladesh. According to a press release by BSS, the NGO Affairs Bureau, backed by the United Nations Development Programme and supported by the Australian Government’s ISPAT project, staged sessions to introduce an NGOAB Online Solution alongside guidance on using AI to boost service delivery and oversight.</w:t>
      </w:r>
      <w:r/>
    </w:p>
    <w:p>
      <w:r/>
      <w:r>
        <w:t>Senior officials framed the shift as both an opportunity and a duty. Barrister Md. Khalilur Rahman Khan, Director General (In-charge), NGOAB, warned that “AI is at its best not when it replaces human thinking, but when it sharpens it. It should serve as a tool we guide, not a force that guides us,” while Dr. K. M. Mamun Uzzaman stressed that technological adoption must be matched by accountability and ethics. The event echoed themes heard at earlier UNDP-linked gatherings on responsible AI in Bangladesh, where experts urged contextual governance to prevent new technologies from entrenching inequalities.</w:t>
      </w:r>
      <w:r/>
    </w:p>
    <w:p>
      <w:r/>
      <w:r>
        <w:t>A practical demonstration of the NGOAB Online Solution showcased a move from paper filing to an end-to-end digital workflow for registration, document submission, application tracking and integrated payments. International and local capacity-building initiatives aimed at the social sector point to similar digital pathways; organisations such as AI4NGO and training providers offering beginner-friendly AI courses are already promoting tools and curricula to help NGOs automate routine tasks and improve reporting while retaining human oversight.</w:t>
      </w:r>
      <w:r/>
    </w:p>
    <w:p>
      <w:r/>
      <w:r>
        <w:t>Technical briefings at the orientation ranged from analytics and compliance support to content generation and conversational agents, with speakers underlining verification, safety and data privacy as prerequisites for adoption. The approach mirrors recent sector-focused events and hackathons that emphasise hands-on prototyping and mentor-led development so that NGO staff without deep technical backgrounds can translate organisational challenges into practical AI solutions.</w:t>
      </w:r>
      <w:r/>
    </w:p>
    <w:p>
      <w:r/>
      <w:r>
        <w:t>Speakers and partners closed the workshop by urging a collaborative, multi-stakeholder approach to scale digital innovations while safeguarding rights and building public trust. UNDP representatives at the session reiterated the need to tackle data bias, the digital divide and misinformation as integral parts of rolling out AI, consistent with recommendations emerging from academic and policy workshops on responsible AI governance in Bangladesh.</w:t>
      </w:r>
      <w:r/>
    </w:p>
    <w:p>
      <w:r/>
      <w:r>
        <w:t>Beyond the immediate pilot, organisers signalled plans to link the initiative to broader learning and networking opportunities in the region, pointing to conferences and training programmes that gather researchers, practitioners and funders to advance ethical AI for civil society. With a growing ecosystem of courses, platforms and summits focused on AI for nonprofits, the bureau’s digital migration arrives amid a wider push to equip NGOs with tools, skills and safeguards for the next phase of service delivery.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[6]</w:t>
        </w:r>
      </w:hyperlink>
      <w:r>
        <w:t xml:space="preserve">- Paragraph 4: </w:t>
      </w:r>
      <w:hyperlink r:id="rId13">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[4]</w:t>
        </w:r>
      </w:hyperlink>
      <w:r>
        <w:t xml:space="preserve">, </w:t>
      </w:r>
      <w:hyperlink r:id="rId11">
        <w:r>
          <w:rPr>
            <w:color w:val="0000EE"/>
            <w:u w:val="single"/>
          </w:rPr>
          <w:t>[3]</w:t>
        </w:r>
      </w:hyperlink>
      <w:r>
        <w:t xml:space="preserve">- Paragraph 6: </w:t>
      </w:r>
      <w:hyperlink r:id="rId15">
        <w:r>
          <w:rPr>
            <w:color w:val="0000EE"/>
            <w:u w:val="single"/>
          </w:rPr>
          <w:t>[5]</w:t>
        </w:r>
      </w:hyperlink>
      <w:r>
        <w:t xml:space="preserve">, </w:t>
      </w:r>
      <w:hyperlink r:id="rId12">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https://www.bssnews.net/others/373904</w:t>
        </w:r>
      </w:hyperlink>
      <w:r>
        <w:t xml:space="preserve"> - Please view link - unable to able to access data</w:t>
      </w:r>
      <w:r/>
    </w:p>
    <w:p>
      <w:pPr>
        <w:pStyle w:val="ListNumber"/>
        <w:spacing w:line="240" w:lineRule="auto"/>
        <w:ind w:left="720"/>
      </w:pPr>
      <w:r/>
      <w:hyperlink r:id="rId13">
        <w:r>
          <w:rPr>
            <w:color w:val="0000EE"/>
            <w:u w:val="single"/>
          </w:rPr>
          <w:t>https://www.civilsocietyacademy.org/events/aiforngos</w:t>
        </w:r>
      </w:hyperlink>
      <w:r>
        <w:t xml:space="preserve"> - The 'AI for NGOs: Hackathon for Everyone' event, held online on 9-10 February 2026, was a collaboration between the Civil Society Academy International and AI expert Markus Matiaschek. It aimed to assist NGO professionals and social innovators in transforming real organisational challenges into practical AI solutions. The hackathon provided hands-on mentoring from AI practitioners, guiding participants through refining challenges, identifying appropriate AI tools, prototyping solutions, and testing their effectiveness. The event was designed for individuals without a technical background, focusing on practical applications of AI in the nonprofit sector.</w:t>
      </w:r>
      <w:r/>
    </w:p>
    <w:p>
      <w:pPr>
        <w:pStyle w:val="ListNumber"/>
        <w:spacing w:line="240" w:lineRule="auto"/>
        <w:ind w:left="720"/>
      </w:pPr>
      <w:r/>
      <w:hyperlink r:id="rId11">
        <w:r>
          <w:rPr>
            <w:color w:val="0000EE"/>
            <w:u w:val="single"/>
          </w:rPr>
          <w:t>https://www.ai4ngo.org/</w:t>
        </w:r>
      </w:hyperlink>
      <w:r>
        <w:t xml:space="preserve"> - AI4NGO is an initiative dedicated to empowering NGOs and civil society organisations by harnessing the transformative potential of artificial intelligence. Their mission is to make AI accessible and ethical for social good, offering practical AI tools for nonprofits working in humanitarian fields. AI4NGO provides resources such as AI literacy courses, workshops, webinars, and tailored solutions to help NGOs understand and implement AI responsibly. They also offer an AI policy template for nonprofits to support ethical AI practices within organisations.</w:t>
      </w:r>
      <w:r/>
    </w:p>
    <w:p>
      <w:pPr>
        <w:pStyle w:val="ListNumber"/>
        <w:spacing w:line="240" w:lineRule="auto"/>
        <w:ind w:left="720"/>
      </w:pPr>
      <w:r/>
      <w:hyperlink r:id="rId10">
        <w:r>
          <w:rPr>
            <w:color w:val="0000EE"/>
            <w:u w:val="single"/>
          </w:rPr>
          <w:t>https://www.newagebd.net/post/education/288095/nsu-undp-host-workshop-on-ai</w:t>
        </w:r>
      </w:hyperlink>
      <w:r>
        <w:t xml:space="preserve"> - In January 2026, North South University (NSU) and UNDP Bangladesh co-hosted a workshop titled 'Responsible AI in practice: Civil society, governance, and accountability in Bangladesh' at NSU's campus in Dhaka. The session brought together experts including Sheela Tasneem Haq from UNDP Bangladesh, Zulkarin Jahangir from NSU, Syed Ishtiaque Ahmed from the University of Toronto, Shafiqul Alam from Victoria University of Wellington, and Quazi Tafsirul Islam from NSU. The workshop addressed the governance challenges of responsible AI, emphasising the need for ethical frameworks and local context to prevent AI from deepening existing inequalities.</w:t>
      </w:r>
      <w:r/>
    </w:p>
    <w:p>
      <w:pPr>
        <w:pStyle w:val="ListNumber"/>
        <w:spacing w:line="240" w:lineRule="auto"/>
        <w:ind w:left="720"/>
      </w:pPr>
      <w:r/>
      <w:hyperlink r:id="rId15">
        <w:r>
          <w:rPr>
            <w:color w:val="0000EE"/>
            <w:u w:val="single"/>
          </w:rPr>
          <w:t>https://www.allconferencealert.com/event/2026344</w:t>
        </w:r>
      </w:hyperlink>
      <w:r>
        <w:t xml:space="preserve"> - The Global Summit on Artificial Intelligence and Emerging Technologies was scheduled for 1-2 April 2026 in Narayanganj, Bangladesh. Organised by the World Research Society, the conference aimed to provide a platform for professionals involved in AI and emerging technologies to exchange knowledge and gain insights into current technologies, techniques, and solutions. Participants included stakeholders from research, academia, industry, and government organisations, focusing on the development and application of AI and emerging technologies across different countries.</w:t>
      </w:r>
      <w:r/>
    </w:p>
    <w:p>
      <w:pPr>
        <w:pStyle w:val="ListNumber"/>
        <w:spacing w:line="240" w:lineRule="auto"/>
        <w:ind w:left="720"/>
      </w:pPr>
      <w:r/>
      <w:hyperlink r:id="rId12">
        <w:r>
          <w:rPr>
            <w:color w:val="0000EE"/>
            <w:u w:val="single"/>
          </w:rPr>
          <w:t>https://www.aiforngo.info/</w:t>
        </w:r>
      </w:hyperlink>
      <w:r>
        <w:t xml:space="preserve"> - AI for Non-Profits offers a comprehensive, beginner-friendly AI course tailored for the social sector, including NGOs, trusts, societies, and nonprofits. Led by a Google Gemini Certified Instructor, the course aims to help organisations save time, craft better stories, and maximise impact. It covers practical applications of AI, such as automating administrative tasks, creating compelling narratives, optimising fundraising campaigns, and measuring outcomes. The course is designed to be accessible for individuals without a technical background, empowering everyone from field staff to leadership to utilise AI effectively.</w:t>
      </w:r>
      <w:r/>
    </w:p>
    <w:p>
      <w:pPr>
        <w:pStyle w:val="ListNumber"/>
        <w:spacing w:line="240" w:lineRule="auto"/>
        <w:ind w:left="720"/>
      </w:pPr>
      <w:r/>
      <w:hyperlink r:id="rId14">
        <w:r>
          <w:rPr>
            <w:color w:val="0000EE"/>
            <w:u w:val="single"/>
          </w:rPr>
          <w:t>https://ngos.ai/</w:t>
        </w:r>
      </w:hyperlink>
      <w:r>
        <w:t xml:space="preserve"> - NGOs.AI is a platform dedicated to exploring the role of artificial intelligence in the nonprofit sector. It provides news, resources, and updates on AI applications within NGOs, including case studies, funding opportunities, and policy developments. Recent articles cover topics such as India's data protection and AI governance updates, the launch of AI chatbots for migrants in Colombia, and the AI for Good Fund supporting nonprofit organisations in Ireland. The platform serves as a valuable resource for NGOs seeking to understand and implement AI technologies responsibly.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ssnews.net/others/373904" TargetMode="External"/><Relationship Id="rId10" Type="http://schemas.openxmlformats.org/officeDocument/2006/relationships/hyperlink" Target="https://www.newagebd.net/post/education/288095/nsu-undp-host-workshop-on-ai" TargetMode="External"/><Relationship Id="rId11" Type="http://schemas.openxmlformats.org/officeDocument/2006/relationships/hyperlink" Target="https://www.ai4ngo.org/" TargetMode="External"/><Relationship Id="rId12" Type="http://schemas.openxmlformats.org/officeDocument/2006/relationships/hyperlink" Target="https://www.aiforngo.info/" TargetMode="External"/><Relationship Id="rId13" Type="http://schemas.openxmlformats.org/officeDocument/2006/relationships/hyperlink" Target="https://www.civilsocietyacademy.org/events/aiforngos" TargetMode="External"/><Relationship Id="rId14" Type="http://schemas.openxmlformats.org/officeDocument/2006/relationships/hyperlink" Target="https://ngos.ai/" TargetMode="External"/><Relationship Id="rId15" Type="http://schemas.openxmlformats.org/officeDocument/2006/relationships/hyperlink" Target="https://www.allconferencealert.com/event/202634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