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Heppner case signals shift in confidentiality rules for AI in litigation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Courts are beginning to confront how generative artificial intelligence intersects with long‑standing confidentiality doctrines, a dynamic brought into sharp relief by the recent United States v. Heppner decision and explored in commentary from legal practitioners and scholars. According to analyses from leading legal outlets, the ruling signals that interactions with publicly accessible AI platforms will not be treated as confidential in the way lawyer‑client exchanges traditionally are. </w:t>
      </w:r>
      <w:r/>
    </w:p>
    <w:p>
      <w:r/>
      <w:r>
        <w:t xml:space="preserve">In Heppner, a defendant consulted a free, consumer‑facing generative AI service while formulating legal arguments and later sought to shield those materials behind attorney‑client privilege and the work‑product doctrine. The court rejected that claim, emphasising that communications routed through an external service that may retain or process user inputs do not satisfy the confidentiality requirement necessary for privilege. Reporting on the case notes the court’s focus on the absence of a human, fiduciary relationship between user and platform. </w:t>
      </w:r>
      <w:r/>
    </w:p>
    <w:p>
      <w:r/>
      <w:r>
        <w:t xml:space="preserve">The judge’s reasoning rests on established principles: privilege protects confidential communications made for legal advice, and disclosure to a third party can extinguish that protection. Commentators highlight that many consumer AI tools reserve broad rights over user inputs and that users cannot reasonably expect those exchanges to remain private. Observers warn this may similarly undermine work‑product protections when drafts or strategy notes are shared with such platforms. </w:t>
      </w:r>
      <w:r/>
    </w:p>
    <w:p>
      <w:r/>
      <w:r>
        <w:t xml:space="preserve">Although Heppner arose in a U.S. criminal context, its logic translates to civil practice in other jurisdictions. Canadian solicitors’ privilege doctrine likewise depends on confidentiality, and practitioners have been urged to treat Heppner as an instructive precedent when counselling clients and litigating disclosure issues. Legal commentators say courts are unlikely to invent an “AI privilege”; instead existing waiver and disclosure rules will be applied to new technological settings. </w:t>
      </w:r>
      <w:r/>
    </w:p>
    <w:p>
      <w:r/>
      <w:r>
        <w:t xml:space="preserve">The potential consequences are particularly acute in personal injury litigation, where records routinely exchanged in discovery, medical files, employment histories, income data, surveillance materials and expert reports, contain deeply personal information. As one of the firm’s lawyers observed, “AI-assisted self-represented defendants uploading our clients’ documents into AI platforms could potentially create a breach of the deemed undertaking rule.” Practitioners caution that increasing use of consumer AI by unrepresented parties may create misuse or unauthorised dissemination of discovery materials. </w:t>
      </w:r>
      <w:r/>
    </w:p>
    <w:p>
      <w:r/>
      <w:r>
        <w:t xml:space="preserve">For plaintiff lawyers the Heppner lesson is practical: proactively protect confidentiality, monitor opponents’ handling of disclosed material, and adopt firm policies on acceptable AI use. Industry write‑ups recommend client education about the privacy limits of public AI tools, advised restrictions on what counsel and experts upload into third‑party platforms, and consideration of whether expert work involving AI must be disclosed. </w:t>
      </w:r>
      <w:r/>
    </w:p>
    <w:p>
      <w:r/>
      <w:r>
        <w:t xml:space="preserve">Privacy and cross‑border data protection add another layer of risk. Where personal health information or other sensitive material is transmitted to AI services hosted outside Canada, statutory privacy obligations and regulatory scrutiny may be triggered. Analysts urge firms to factor data residency and vendor terms into decisions about permissible AI usage in active matters. </w:t>
      </w:r>
      <w:r/>
    </w:p>
    <w:p>
      <w:r/>
      <w:r>
        <w:t xml:space="preserve">Heppner does not bar the use of AI in litigation, but it underscores that traditional confidentiality rules will be applied to technological vectors. Courts and regulators are likely to press parties to demonstrate control over sensitive information; until doctrine and practice evolve, lawyers handling personal injury matters should reassess client guidance, discovery monitoring and internal protocols to reduce the risk that privileged or confidential materials are inadvertently surrendered to third‑party AI systems.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4">
        <w:r>
          <w:rPr>
            <w:color w:val="0000EE"/>
            <w:u w:val="single"/>
          </w:rPr>
          <w:t>[4]</w:t>
        </w:r>
      </w:hyperlink>
      <w:r>
        <w:t xml:space="preserve">, </w:t>
      </w:r>
      <w:hyperlink r:id="rId10">
        <w:r>
          <w:rPr>
            <w:color w:val="0000EE"/>
            <w:u w:val="single"/>
          </w:rPr>
          <w:t>[2]</w:t>
        </w:r>
      </w:hyperlink>
      <w:r>
        <w:t xml:space="preserve">- Paragraph 6: </w:t>
      </w:r>
      <w:hyperlink r:id="rId13">
        <w:r>
          <w:rPr>
            <w:color w:val="0000EE"/>
            <w:u w:val="single"/>
          </w:rPr>
          <w:t>[6]</w:t>
        </w:r>
      </w:hyperlink>
      <w:r>
        <w:t xml:space="preserve">, </w:t>
      </w:r>
      <w:hyperlink r:id="rId15">
        <w:r>
          <w:rPr>
            <w:color w:val="0000EE"/>
            <w:u w:val="single"/>
          </w:rPr>
          <w:t>[7]</w:t>
        </w:r>
      </w:hyperlink>
      <w:r>
        <w:t xml:space="preserve">- Paragraph 7: </w:t>
      </w:r>
      <w:hyperlink r:id="rId13">
        <w:r>
          <w:rPr>
            <w:color w:val="0000EE"/>
            <w:u w:val="single"/>
          </w:rPr>
          <w:t>[6]</w:t>
        </w:r>
      </w:hyperlink>
      <w:r>
        <w:t xml:space="preserve">, </w:t>
      </w:r>
      <w:hyperlink r:id="rId15">
        <w:r>
          <w:rPr>
            <w:color w:val="0000EE"/>
            <w:u w:val="single"/>
          </w:rPr>
          <w:t>[7]</w:t>
        </w:r>
      </w:hyperlink>
      <w:r>
        <w:t xml:space="preserve">- Paragraph 8: </w:t>
      </w:r>
      <w:hyperlink r:id="rId15">
        <w:r>
          <w:rPr>
            <w:color w:val="0000EE"/>
            <w:u w:val="single"/>
          </w:rPr>
          <w:t>[7]</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https://www.unite.ai/ai-privilege-and-personal-injury-litigation-what-united-states-v-heppner-could-mean-for-canadian-cases/</w:t>
        </w:r>
      </w:hyperlink>
      <w:r>
        <w:t xml:space="preserve"> - Please view link - unable to able to access data</w:t>
      </w:r>
      <w:r/>
    </w:p>
    <w:p>
      <w:pPr>
        <w:pStyle w:val="ListNumber"/>
        <w:spacing w:line="240" w:lineRule="auto"/>
        <w:ind w:left="720"/>
      </w:pPr>
      <w:r/>
      <w:hyperlink r:id="rId10">
        <w:r>
          <w:rPr>
            <w:color w:val="0000EE"/>
            <w:u w:val="single"/>
          </w:rPr>
          <w:t>https://www.clio.com/blog/ai-attorney-client-privilege-heppner/</w:t>
        </w:r>
      </w:hyperlink>
      <w:r>
        <w:t xml:space="preserve"> - This article discusses the United States v. Heppner case, where a defendant used a free public AI chatbot to generate defense strategies without attorney involvement. The court ruled that these materials were not protected by attorney-client privilege, emphasizing that communications with AI platforms are not confidential and do not meet the requirements for privilege. The article advises lawyers to educate clients about the risks of using AI tools without proper confidentiality protections.</w:t>
      </w:r>
      <w:r/>
    </w:p>
    <w:p>
      <w:pPr>
        <w:pStyle w:val="ListNumber"/>
        <w:spacing w:line="240" w:lineRule="auto"/>
        <w:ind w:left="720"/>
      </w:pPr>
      <w:r/>
      <w:hyperlink r:id="rId11">
        <w:r>
          <w:rPr>
            <w:color w:val="0000EE"/>
            <w:u w:val="single"/>
          </w:rPr>
          <w:t>https://www.americanbar.org/groups/litigation/resources/newsletters/corporate-counsel/ai-communications-not-privileged-what-united-states-heppner-means-corporate-clients/</w:t>
        </w:r>
      </w:hyperlink>
      <w:r>
        <w:t xml:space="preserve"> - This article examines the implications of the United States v. Heppner decision, where the court held that communications with a publicly available AI platform are not protected by attorney-client privilege or the work-product doctrine. It highlights the need for corporate clients to be cautious when using AI tools for legal research, as such communications may be discoverable and could waive privilege protections.</w:t>
      </w:r>
      <w:r/>
    </w:p>
    <w:p>
      <w:pPr>
        <w:pStyle w:val="ListNumber"/>
        <w:spacing w:line="240" w:lineRule="auto"/>
        <w:ind w:left="720"/>
      </w:pPr>
      <w:r/>
      <w:hyperlink r:id="rId14">
        <w:r>
          <w:rPr>
            <w:color w:val="0000EE"/>
            <w:u w:val="single"/>
          </w:rPr>
          <w:t>https://www.stark-stark.com/news/are-ai-communications-protected-by-attorney-client-privilege-lessons-from-united-states-v-heppner/</w:t>
        </w:r>
      </w:hyperlink>
      <w:r>
        <w:t xml:space="preserve"> - This article analyzes the United States v. Heppner case, where the court ruled that communications with generative AI platforms are not protected by attorney-client privilege or the work-product doctrine. It discusses the court's reasoning, emphasizing that AI platforms are not attorneys and do not create confidential communications. The article advises legal professionals to limit communications with AI platforms to preserve confidentiality.</w:t>
      </w:r>
      <w:r/>
    </w:p>
    <w:p>
      <w:pPr>
        <w:pStyle w:val="ListNumber"/>
        <w:spacing w:line="240" w:lineRule="auto"/>
        <w:ind w:left="720"/>
      </w:pPr>
      <w:r/>
      <w:hyperlink r:id="rId12">
        <w:r>
          <w:rPr>
            <w:color w:val="0000EE"/>
            <w:u w:val="single"/>
          </w:rPr>
          <w:t>https://www.mcvpr.com/newsroom-publications-Heppner-AI</w:t>
        </w:r>
      </w:hyperlink>
      <w:r>
        <w:t xml:space="preserve"> - This article reports on the United States v. Heppner decision, where the court held that communications with a publicly available generative AI platform are not protected by attorney-client privilege or the work-product doctrine. It discusses the court's emphasis on the lack of a 'trusting human relationship' with AI platforms and the potential risks of using AI tools in legal contexts.</w:t>
      </w:r>
      <w:r/>
    </w:p>
    <w:p>
      <w:pPr>
        <w:pStyle w:val="ListNumber"/>
        <w:spacing w:line="240" w:lineRule="auto"/>
        <w:ind w:left="720"/>
      </w:pPr>
      <w:r/>
      <w:hyperlink r:id="rId13">
        <w:r>
          <w:rPr>
            <w:color w:val="0000EE"/>
            <w:u w:val="single"/>
          </w:rPr>
          <w:t>https://www.buchalter.com/blogs/united-states-v-heppner-southern-district-of-new-york-holds-ai-communications-are-not-protected-by-attorney-client-privilege-or-work-product-doctrine/</w:t>
        </w:r>
      </w:hyperlink>
      <w:r>
        <w:t xml:space="preserve"> - This article provides an executive summary of the United States v. Heppner case, where the court ruled that communications with a publicly available generative AI platform are not protected by attorney-client privilege or the work-product doctrine. It discusses the court's reasoning and the implications for legal professionals using AI tools in litigation.</w:t>
      </w:r>
      <w:r/>
    </w:p>
    <w:p>
      <w:pPr>
        <w:pStyle w:val="ListNumber"/>
        <w:spacing w:line="240" w:lineRule="auto"/>
        <w:ind w:left="720"/>
      </w:pPr>
      <w:r/>
      <w:hyperlink r:id="rId15">
        <w:r>
          <w:rPr>
            <w:color w:val="0000EE"/>
            <w:u w:val="single"/>
          </w:rPr>
          <w:t>https://www.dentons.com/en/insights/alerts/2026/march/31/privilege-in-the-genai-world</w:t>
        </w:r>
      </w:hyperlink>
      <w:r>
        <w:t xml:space="preserve"> - This article discusses the United States v. Heppner decision, highlighting the court's warning that communications with public generative AI tools may not be protected by privilege. It emphasizes the need for litigants and counsel to be cautious when using AI tools in active matters to preserve confidentiality and privilege protections.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ite.ai/ai-privilege-and-personal-injury-litigation-what-united-states-v-heppner-could-mean-for-canadian-cases/" TargetMode="External"/><Relationship Id="rId10" Type="http://schemas.openxmlformats.org/officeDocument/2006/relationships/hyperlink" Target="https://www.clio.com/blog/ai-attorney-client-privilege-heppner/" TargetMode="External"/><Relationship Id="rId11" Type="http://schemas.openxmlformats.org/officeDocument/2006/relationships/hyperlink" Target="https://www.americanbar.org/groups/litigation/resources/newsletters/corporate-counsel/ai-communications-not-privileged-what-united-states-heppner-means-corporate-clients/" TargetMode="External"/><Relationship Id="rId12" Type="http://schemas.openxmlformats.org/officeDocument/2006/relationships/hyperlink" Target="https://www.mcvpr.com/newsroom-publications-Heppner-AI" TargetMode="External"/><Relationship Id="rId13" Type="http://schemas.openxmlformats.org/officeDocument/2006/relationships/hyperlink" Target="https://www.buchalter.com/blogs/united-states-v-heppner-southern-district-of-new-york-holds-ai-communications-are-not-protected-by-attorney-client-privilege-or-work-product-doctrine/" TargetMode="External"/><Relationship Id="rId14" Type="http://schemas.openxmlformats.org/officeDocument/2006/relationships/hyperlink" Target="https://www.stark-stark.com/news/are-ai-communications-protected-by-attorney-client-privilege-lessons-from-united-states-v-heppner/" TargetMode="External"/><Relationship Id="rId15" Type="http://schemas.openxmlformats.org/officeDocument/2006/relationships/hyperlink" Target="https://www.dentons.com/en/insights/alerts/2026/march/31/privilege-in-the-genai-worl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