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Accountants must uphold ethical standards as AI accelerates advice automation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quickly becoming a routine part of professional practice, but accountants cannot treat speed as a substitute for judgement. In advice work, the danger is not simply that a system may be wrong; it is that staff begin to outsource the thinking that gives accounting advice its value. The concern is especially acute when junior employees lean on AI-generated drafts without pausing to test whether the recommendation fits the client’s circumstances, objectives and risks.</w:t>
      </w:r>
      <w:r/>
    </w:p>
    <w:p>
      <w:r/>
      <w:r>
        <w:t>Under APES 110, the ethical duties of professional accountants do not change just because technology is doing some of the drafting. The code’s core principles, including integrity, objectivity, professional competence and due care, confidentiality and professional behaviour, apply whether the work is produced by a trainee, a partner or an algorithm. CPA Australia points to the same framework, while the Accounting Professional and Ethical Standards Board has also issued updated guidance on technology, effective from 1 January 2025, to help firms manage emerging risks.</w:t>
      </w:r>
      <w:r/>
    </w:p>
    <w:p>
      <w:r/>
      <w:r>
        <w:t>That matters because AI may be efficient, but it cannot weigh up the softer factors that shape good advice. According to the article’s response, clients need recommendations that are suitable, relevant and grounded in their individual position, not merely outputs that are "mostly accurate". The missing layer is interpretation: understanding family circumstances, appetite for risk, commercial priorities and the broader context that no model can fully grasp. That is where professional responsibility remains firmly with the accountant.</w:t>
      </w:r>
      <w:r/>
    </w:p>
    <w:p>
      <w:r/>
      <w:r>
        <w:t>Research cited by the Institute of Chartered Accountants of Scotland suggests many professionals share that concern, with more than two-thirds worried that generative AI could produce errors or poor decisions. The lesson is not to abandon the tools, but to place them inside a disciplined review process: clear supervision, documented checks, training on limitations and explicit accountability for final advice. Used this way, AI can support efficiency without diluting the ethical standards that underpin trust in the profession.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https://intheblack.cpaaustralia.com.au/ethics-and-governance/ai-advice-vs-professional-judgement</w:t>
        </w:r>
      </w:hyperlink>
      <w:r>
        <w:t xml:space="preserve"> - Please view link - unable to able to access data</w:t>
      </w:r>
      <w:r/>
    </w:p>
    <w:p>
      <w:pPr>
        <w:pStyle w:val="ListNumber"/>
        <w:spacing w:line="240" w:lineRule="auto"/>
        <w:ind w:left="720"/>
      </w:pPr>
      <w:r/>
      <w:hyperlink r:id="rId10">
        <w:r>
          <w:rPr>
            <w:color w:val="0000EE"/>
            <w:u w:val="single"/>
          </w:rPr>
          <w:t>https://apesb.org.au/standards-guidance/apes-110-code-of-ethics/</w:t>
        </w:r>
      </w:hyperlink>
      <w:r>
        <w:t xml:space="preserve"> - The APES 110 Code of Ethics for Professional Accountants outlines the five fundamental principles of ethics for professional accountants: integrity, objectivity, professional competence and due care, confidentiality, and professional behaviour. These principles apply regardless of whether the work is performed by a junior accountant, a partner, or an algorithm. The Code provides a framework for accountants to identify and address threats to compliance with these principles, ensuring ethical conduct in the profession.</w:t>
      </w:r>
      <w:r/>
    </w:p>
    <w:p>
      <w:pPr>
        <w:pStyle w:val="ListNumber"/>
        <w:spacing w:line="240" w:lineRule="auto"/>
        <w:ind w:left="720"/>
      </w:pPr>
      <w:r/>
      <w:hyperlink r:id="rId11">
        <w:r>
          <w:rPr>
            <w:color w:val="0000EE"/>
            <w:u w:val="single"/>
          </w:rPr>
          <w:t>https://www.icas.com/news-insights-events/news/press-release/ai-can-t-replace-human-judgement-in-accounting-icas-study-shows</w:t>
        </w:r>
      </w:hyperlink>
      <w:r>
        <w:t xml:space="preserve"> - A study by the Institute of Chartered Accountants of Scotland (ICAS) reveals that over two-thirds of accounting professionals are concerned that generative artificial intelligence (Gen AI) could produce errors or incorrect decisions. The research highlights the critical importance of maintaining human oversight as AI becomes more integrated into accounting practices, emphasising that while AI can enhance productivity, it cannot replace the nuanced understanding and professional judgement essential in the field.</w:t>
      </w:r>
      <w:r/>
    </w:p>
    <w:p>
      <w:pPr>
        <w:pStyle w:val="ListNumber"/>
        <w:spacing w:line="240" w:lineRule="auto"/>
        <w:ind w:left="720"/>
      </w:pPr>
      <w:r/>
      <w:hyperlink r:id="rId12">
        <w:r>
          <w:rPr>
            <w:color w:val="0000EE"/>
            <w:u w:val="single"/>
          </w:rPr>
          <w:t>https://apesb.org.au/technology/</w:t>
        </w:r>
      </w:hyperlink>
      <w:r>
        <w:t xml:space="preserve"> - The Accounting Professional and Ethical Standards Board (APESB) addresses the ethical considerations of emerging technologies, including artificial intelligence (AI), in the accounting profession. The APESB has issued an Amending Standard to the APES 110 Code of Ethics for Professional Accountants, effective from 1 January 2025, to guide the responsible use of technology, ensuring that fundamental principles such as integrity, professional competence, and confidentiality are upheld.</w:t>
      </w:r>
      <w:r/>
    </w:p>
    <w:p>
      <w:pPr>
        <w:pStyle w:val="ListNumber"/>
        <w:spacing w:line="240" w:lineRule="auto"/>
        <w:ind w:left="720"/>
      </w:pPr>
      <w:r/>
      <w:hyperlink r:id="rId13">
        <w:r>
          <w:rPr>
            <w:color w:val="0000EE"/>
            <w:u w:val="single"/>
          </w:rPr>
          <w:t>https://www.cpaaustralia.com.au/tools-and-resources/accounting-professional-and-ethical-standards/apes-110-code-of-ethics-for-professional-accountants</w:t>
        </w:r>
      </w:hyperlink>
      <w:r>
        <w:t xml:space="preserve"> - CPA Australia provides access to the APES 110 Code of Ethics for Professional Accountants, which is based on the International Code of Ethics issued by the International Ethics Standards Board for Accountants. The Code outlines the ethical obligations of professional accountants, including the fundamental principles of integrity, objectivity, professional competence and due care, confidentiality, and professional behaviour, applicable to all members practising in Australia or abroad.</w:t>
      </w:r>
      <w:r/>
    </w:p>
    <w:p>
      <w:pPr>
        <w:pStyle w:val="ListNumber"/>
        <w:spacing w:line="240" w:lineRule="auto"/>
        <w:ind w:left="720"/>
      </w:pPr>
      <w:r/>
      <w:hyperlink r:id="rId14">
        <w:r>
          <w:rPr>
            <w:color w:val="0000EE"/>
            <w:u w:val="single"/>
          </w:rPr>
          <w:t>https://www.researchgate.net/publication/383039613_The_Impact_of_Emerging_Accounting_Technologies_on_Accounting_Services_and_APES_110</w:t>
        </w:r>
      </w:hyperlink>
      <w:r>
        <w:t xml:space="preserve"> - This research critically evaluates the impact of emerging technologies—such as Blockchain, Automation (ERP), and Big Data Analytics—on the Australian accounting services industry and their implications on the APES 110 Code of Ethics for Professional Accountants. The study highlights the significant technological investments made by accounting firms, emphasising improvements in efficiency, accuracy, and transparency across various services, and explores the integration of these technologies with ethical considerations.</w:t>
      </w:r>
      <w:r/>
    </w:p>
    <w:p>
      <w:pPr>
        <w:pStyle w:val="ListNumber"/>
        <w:spacing w:line="240" w:lineRule="auto"/>
        <w:ind w:left="720"/>
      </w:pPr>
      <w:r/>
      <w:hyperlink r:id="rId15">
        <w:r>
          <w:rPr>
            <w:color w:val="0000EE"/>
            <w:u w:val="single"/>
          </w:rPr>
          <w:t>https://www.kiplinger.com/kiplinger-advisor-collective/ai-artificial-intelligence-in-accounting-ethical-implications</w:t>
        </w:r>
      </w:hyperlink>
      <w:r>
        <w:t xml:space="preserve"> - This article discusses the ethical implications of artificial intelligence (AI) in accounting, highlighting concerns such as bias, data privacy, and transparency. While AI offers benefits like automating tasks and improving accuracy, the article emphasises the importance of maintaining ethical standards and human oversight to address potential issues associated with AI implementation in accounting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heblack.cpaaustralia.com.au/ethics-and-governance/ai-advice-vs-professional-judgement" TargetMode="External"/><Relationship Id="rId10" Type="http://schemas.openxmlformats.org/officeDocument/2006/relationships/hyperlink" Target="https://apesb.org.au/standards-guidance/apes-110-code-of-ethics/" TargetMode="External"/><Relationship Id="rId11" Type="http://schemas.openxmlformats.org/officeDocument/2006/relationships/hyperlink" Target="https://www.icas.com/news-insights-events/news/press-release/ai-can-t-replace-human-judgement-in-accounting-icas-study-shows" TargetMode="External"/><Relationship Id="rId12" Type="http://schemas.openxmlformats.org/officeDocument/2006/relationships/hyperlink" Target="https://apesb.org.au/technology/" TargetMode="External"/><Relationship Id="rId13" Type="http://schemas.openxmlformats.org/officeDocument/2006/relationships/hyperlink" Target="https://www.cpaaustralia.com.au/tools-and-resources/accounting-professional-and-ethical-standards/apes-110-code-of-ethics-for-professional-accountants" TargetMode="External"/><Relationship Id="rId14" Type="http://schemas.openxmlformats.org/officeDocument/2006/relationships/hyperlink" Target="https://www.researchgate.net/publication/383039613_The_Impact_of_Emerging_Accounting_Technologies_on_Accounting_Services_and_APES_110" TargetMode="External"/><Relationship Id="rId15" Type="http://schemas.openxmlformats.org/officeDocument/2006/relationships/hyperlink" Target="https://www.kiplinger.com/kiplinger-advisor-collective/ai-artificial-intelligence-in-accounting-ethical-implic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