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Responsible AI scaling depends on discipline and robust governance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 generative AI moves from experiments into customer support, enterprise search, software development and decision-making tools, the central challenge is shifting from what the technology can do to whether companies can use it safely at scale. The CIOL article argues that this new phase is less about enthusiasm than discipline: organisations now need clear boundaries, data protections and operational controls if they want AI to be more than a flashy pilot.</w:t>
      </w:r>
      <w:r/>
    </w:p>
    <w:p>
      <w:r/>
      <w:r>
        <w:t>The first requirement is clarity on where AI belongs and where it does not. CIOL says enterprises should separate approved, restricted and prohibited use cases, so employees know when AI can assist and when human review is compulsory. That matters because the same system that speeds up routine tasks can create serious problems if it is allowed into legal, financial or other sensitive workflows without oversight.</w:t>
      </w:r>
      <w:r/>
    </w:p>
    <w:p>
      <w:r/>
      <w:r>
        <w:t>Data control is the next line of defence. According to the CIOL piece, the biggest risk often begins before a model even responds, when staff paste confidential material into prompts. TechTarget has made a similar point in its reporting on AI leakage, warning that enterprises need stronger protections around sensitive inputs, vendor validation and output filtering. TechRadar Pro has also argued that governance has to be embedded throughout deployment, not bolted on afterwards, if companies want to avoid exposure, reputational damage and compliance failures.</w:t>
      </w:r>
      <w:r/>
    </w:p>
    <w:p>
      <w:r/>
      <w:r>
        <w:t>Human judgement still has a role in the loop, especially where the consequences of error are high. CIOL says AI can draft, summarise and recommend, but it should not be left to act alone on customer communications, reporting, compliance decisions or contracts. That view is consistent with broader industry thinking: TechRadar Pro has highlighted the danger of overreliance on autonomous systems, while Forbes has described AI readiness as a board-level capability that depends on people, strategy and operating model as much as on the models themselves.</w:t>
      </w:r>
      <w:r/>
    </w:p>
    <w:p>
      <w:r/>
      <w:r>
        <w:t>The article also stresses the need for testing and traceability. Enterprises cannot assume that a tool that performs well in a demo will remain reliable in production, and CIOL says model performance, prompt sensitivity and failure behaviour all need continuous review. Audit trails are equally important, since organisations need to know what went into a system, what came out, who used it and what happened next if something goes wrong.</w:t>
      </w:r>
      <w:r/>
    </w:p>
    <w:p>
      <w:r/>
      <w:r>
        <w:t>Finally, the piece argues that responsible AI is not a brake on innovation but the condition that makes scaling possible. That is where broader ideas about AI readiness become relevant. Consultport and Forbes both frame readiness as a continuing organisational capability, shaped by governance, executive ownership and business priorities rather than a one-off implementation exercise. On that view, the next phase of GenAI adoption will belong to companies that can combine speed with control, and experimentation with accountability.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[7]</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[3]</w:t>
        </w:r>
      </w:hyperlink>
      <w:r>
        <w:t xml:space="preserve">- Paragraph 6: </w:t>
      </w:r>
      <w:hyperlink r:id="rId9">
        <w:r>
          <w:rPr>
            <w:color w:val="0000EE"/>
            <w:u w:val="single"/>
          </w:rPr>
          <w:t>[2]</w:t>
        </w:r>
      </w:hyperlink>
      <w:r>
        <w:t xml:space="preserve">, </w:t>
      </w:r>
      <w:hyperlink r:id="rId13">
        <w:r>
          <w:rPr>
            <w:color w:val="0000EE"/>
            <w:u w:val="single"/>
          </w:rPr>
          <w:t>[5]</w:t>
        </w:r>
      </w:hyperlink>
      <w:r>
        <w:t xml:space="preserve">, </w:t>
      </w:r>
      <w:hyperlink r:id="rId10">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https://www.ciol.com/generative-ai/responsible-ai-in-2026-7-guardrails-before-scaling-genai-11731269</w:t>
        </w:r>
      </w:hyperlink>
      <w:r>
        <w:t xml:space="preserve"> - Please view link - unable to able to access data</w:t>
      </w:r>
      <w:r/>
    </w:p>
    <w:p>
      <w:pPr>
        <w:pStyle w:val="ListNumber"/>
        <w:spacing w:line="240" w:lineRule="auto"/>
        <w:ind w:left="720"/>
      </w:pPr>
      <w:r/>
      <w:hyperlink r:id="rId9">
        <w:r>
          <w:rPr>
            <w:color w:val="0000EE"/>
            <w:u w:val="single"/>
          </w:rPr>
          <w:t>https://www.ciol.com/generative-ai/responsible-ai-in-2026-7-guardrails-before-scaling-genai-11731269</w:t>
        </w:r>
      </w:hyperlink>
      <w:r>
        <w:t xml:space="preserve"> - This article discusses the importance of responsible AI practices as generative AI (GenAI) becomes integral to business operations. It outlines seven essential guardrails for enterprises to scale GenAI safely, including defining appropriate use cases, protecting sensitive data, maintaining human oversight, continuous testing, building audit trails, assessing vendor and model risks, and preparing for potential failures. The piece emphasises that strong governance frameworks enable organisations to move from experimentation to reliable, enterprise-scale deployment of AI systems.</w:t>
      </w:r>
      <w:r/>
    </w:p>
    <w:p>
      <w:pPr>
        <w:pStyle w:val="ListNumber"/>
        <w:spacing w:line="240" w:lineRule="auto"/>
        <w:ind w:left="720"/>
      </w:pPr>
      <w:r/>
      <w:hyperlink r:id="rId11">
        <w:r>
          <w:rPr>
            <w:color w:val="0000EE"/>
            <w:u w:val="single"/>
          </w:rPr>
          <w:t>https://www.techradar.com/pro/governing-the-hidden-risks-of-generative-ai-in-the-enterprise</w:t>
        </w:r>
      </w:hyperlink>
      <w:r>
        <w:t xml:space="preserve"> - This article explores the growing reliance on generative AI in business operations and the urgent need for stronger governance to mitigate associated risks. It highlights concerns such as security vulnerabilities, data leakage, and reputational damage. The piece underscores the importance of human oversight, continuous model evaluation, and integrated governance controls to prevent biased or harmful outputs, advocating for a comprehensive approach to securing data and embedding security into every stage of AI deployment.</w:t>
      </w:r>
      <w:r/>
    </w:p>
    <w:p>
      <w:pPr>
        <w:pStyle w:val="ListNumber"/>
        <w:spacing w:line="240" w:lineRule="auto"/>
        <w:ind w:left="720"/>
      </w:pPr>
      <w:r/>
      <w:hyperlink r:id="rId12">
        <w:r>
          <w:rPr>
            <w:color w:val="0000EE"/>
            <w:u w:val="single"/>
          </w:rPr>
          <w:t>https://www.techtarget.com/searchenterpriseai/answer/How-bad-is-generative-AI-data-leakage-and-how-can-you-stop-it</w:t>
        </w:r>
      </w:hyperlink>
      <w:r>
        <w:t xml:space="preserve"> - This article examines the severity of data leaks in generative AI systems and offers strategies to prevent them. It discusses the potential consequences of data leaks, including exposure of sensitive information and compliance violations. The piece recommends practices such as removing sensitive data before training, validating AI vendors, filtering data output, training employees, blocking third-party AI services, and securing infrastructure to mitigate risks associated with generative AI data leakage.</w:t>
      </w:r>
      <w:r/>
    </w:p>
    <w:p>
      <w:pPr>
        <w:pStyle w:val="ListNumber"/>
        <w:spacing w:line="240" w:lineRule="auto"/>
        <w:ind w:left="720"/>
      </w:pPr>
      <w:r/>
      <w:hyperlink r:id="rId13">
        <w:r>
          <w:rPr>
            <w:color w:val="0000EE"/>
            <w:u w:val="single"/>
          </w:rPr>
          <w:t>https://www.forbes.com/councils/forbestechcouncil/2026/03/02/the-five-dimension-assessment-for-ai-readiness-a-board-level-framework-for-scaling-ai/</w:t>
        </w:r>
      </w:hyperlink>
      <w:r>
        <w:t xml:space="preserve"> - This article introduces a five-dimensional assessment framework for AI readiness, designed to help organisations scale AI effectively. The framework evaluates areas such as strategy, data, technology, and people to ensure alignment for responsible AI deployment. It highlights the importance of executive ownership, clear use cases, and operating models that integrate AI into core decision-making processes, emphasising that AI readiness is a continuous capability that evolves with regulation, technology maturity, and business priorities.</w:t>
      </w:r>
      <w:r/>
    </w:p>
    <w:p>
      <w:pPr>
        <w:pStyle w:val="ListNumber"/>
        <w:spacing w:line="240" w:lineRule="auto"/>
        <w:ind w:left="720"/>
      </w:pPr>
      <w:r/>
      <w:hyperlink r:id="rId15">
        <w:r>
          <w:rPr>
            <w:color w:val="0000EE"/>
            <w:u w:val="single"/>
          </w:rPr>
          <w:t>https://www.techradar.com/pro/the-convergence-of-dspm-dlp-and-data-privacy</w:t>
        </w:r>
      </w:hyperlink>
      <w:r>
        <w:t xml:space="preserve"> - This article explores the convergence of Data Security Posture Management (DSPM), Data Loss Prevention (DLP), and data privacy in response to escalating data breaches and complex privacy regulations. It discusses how these elements work together to create a comprehensive approach to securing data, with DSPM assessing risk, DLP enforcing policy, and privacy frameworks guiding compliance. The piece also addresses the implications of Generative AI tools, highlighting the need for integrated data security strategies.</w:t>
      </w:r>
      <w:r/>
    </w:p>
    <w:p>
      <w:pPr>
        <w:pStyle w:val="ListNumber"/>
        <w:spacing w:line="240" w:lineRule="auto"/>
        <w:ind w:left="720"/>
      </w:pPr>
      <w:r/>
      <w:hyperlink r:id="rId10">
        <w:r>
          <w:rPr>
            <w:color w:val="0000EE"/>
            <w:u w:val="single"/>
          </w:rPr>
          <w:t>https://consultport.com/simply-explained/what-is-ai-readiness/</w:t>
        </w:r>
      </w:hyperlink>
      <w:r>
        <w:t xml:space="preserve"> - This article defines AI readiness as an organisation's ability to adopt artificial intelligence in a structured, scalable, and value-driven way. It outlines key components of AI readiness, including strategy, data, technology, and people, and emphasises the importance of executive ownership, clear use cases, and operating models that integrate AI into core decision-making processes. The piece also highlights that AI readiness is a continuous capability that evolves with regulation, technology maturity, and business priorities.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ol.com/generative-ai/responsible-ai-in-2026-7-guardrails-before-scaling-genai-11731269" TargetMode="External"/><Relationship Id="rId10" Type="http://schemas.openxmlformats.org/officeDocument/2006/relationships/hyperlink" Target="https://consultport.com/simply-explained/what-is-ai-readiness/" TargetMode="External"/><Relationship Id="rId11" Type="http://schemas.openxmlformats.org/officeDocument/2006/relationships/hyperlink" Target="https://www.techradar.com/pro/governing-the-hidden-risks-of-generative-ai-in-the-enterprise" TargetMode="External"/><Relationship Id="rId12" Type="http://schemas.openxmlformats.org/officeDocument/2006/relationships/hyperlink" Target="https://www.techtarget.com/searchenterpriseai/answer/How-bad-is-generative-AI-data-leakage-and-how-can-you-stop-it" TargetMode="External"/><Relationship Id="rId13" Type="http://schemas.openxmlformats.org/officeDocument/2006/relationships/hyperlink" Target="https://www.forbes.com/councils/forbestechcouncil/2026/03/02/the-five-dimension-assessment-for-ai-readiness-a-board-level-framework-for-scaling-ai/" TargetMode="External"/><Relationship Id="rId14" Type="http://schemas.openxmlformats.org/officeDocument/2006/relationships/hyperlink" Target="https://www.noahwire.com" TargetMode="External"/><Relationship Id="rId15" Type="http://schemas.openxmlformats.org/officeDocument/2006/relationships/hyperlink" Target="https://www.techradar.com/pro/the-convergence-of-dspm-dlp-and-data-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