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AIxchange advocates for transparent licensing and creator influence in AI-generated music</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As generative AI companies strike ever larger licensing deals with major music groups, a growing number of rights holders are arguing that the industry is repeating the mistakes of the streaming era: opaque terms, narrow benefits for a few top acts and too little say from the creators whose work underpins the technology. AIxchange, a newly formed coalition, is trying to reset that debate by putting prior consent at the centre of music licensing for AI systems. Digital Music News has described the group’s approach as part of a wider shift towards attribution models designed to be more transparent and more defensible for creators. </w:t>
      </w:r>
      <w:r/>
    </w:p>
    <w:p>
      <w:r/>
      <w:r>
        <w:t xml:space="preserve">At the core of AIxchange’s pitch is Creative Weight Attribution, a method intended to go beyond simple fingerprinting or watermarking and estimate how much a particular recording or composition has shaped an AI model’s output. The organisation says this would help tie payments not just to obvious training inputs, but to demonstrable creative influence inside the model itself. AIxchange’s own materials present the platform as a consent-based licensing framework for generative AI, while Musically reported last year that the start-up was building a bridge between rights holders and AI developers by offering legal, high-quality training data. </w:t>
      </w:r>
      <w:r/>
    </w:p>
    <w:p>
      <w:r/>
      <w:r>
        <w:t xml:space="preserve">The coalition is also broadening its footprint through partnerships. AIxchange says BUMA/Stemra has become an early collective-management partner, while AFEM is involved in launching the initiative at IMS Ibiza 2026. It also lists South African societies CAPASSO and SAMPRA among the organisations helping to develop a pan-African framework intended to keep more value in local music ecosystems. According to AIxchange, the model is meant to deliver a more even split between recording and publishing rights and to recognise catalogue depth and niche genres that traditional detection systems can overlook. </w:t>
      </w:r>
      <w:r/>
    </w:p>
    <w:p>
      <w:r/>
      <w:r>
        <w:t xml:space="preserve">The wider policy environment is moving in the same direction. Industry guides on AI music contracts now increasingly stress explicit training-data consent, protection for synthetic voices and clearer rules for AI-generated works, while disclosure requirements for AI-made music have tightened across major streaming platforms this year. Taken together, those developments suggest that the argument is shifting away from whether AI can be licensed at all and towards how consent, attribution and payment should be built into the system from the outset.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[7]</w:t>
        </w:r>
      </w:hyperlink>
      <w:r>
        <w:t xml:space="preserve">- Paragraph 3: </w:t>
      </w:r>
      <w:hyperlink r:id="rId12">
        <w:r>
          <w:rPr>
            <w:color w:val="0000EE"/>
            <w:u w:val="single"/>
          </w:rPr>
          <w:t>[3]</w:t>
        </w:r>
      </w:hyperlink>
      <w:r>
        <w:t xml:space="preserve">, </w:t>
      </w:r>
      <w:hyperlink r:id="rId11">
        <w:r>
          <w:rPr>
            <w:color w:val="0000EE"/>
            <w:u w:val="single"/>
          </w:rPr>
          <w:t>[7]</w:t>
        </w:r>
      </w:hyperlink>
      <w:r>
        <w:t xml:space="preserve">- Paragraph 4: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https://www.santananews.com/2026/04/las-alianzas-de-alxchange-incluyen.html</w:t>
        </w:r>
      </w:hyperlink>
      <w:r>
        <w:t xml:space="preserve"> - Please view link - unable to able to access data</w:t>
      </w:r>
      <w:r/>
    </w:p>
    <w:p>
      <w:pPr>
        <w:pStyle w:val="ListNumber"/>
        <w:spacing w:line="240" w:lineRule="auto"/>
        <w:ind w:left="720"/>
      </w:pPr>
      <w:r/>
      <w:hyperlink r:id="rId10">
        <w:r>
          <w:rPr>
            <w:color w:val="0000EE"/>
            <w:u w:val="single"/>
          </w:rPr>
          <w:t>https://www.digitalmusicnews.com/2026/01/26/ai-licensing-shift-creative-weight-attribution/</w:t>
        </w:r>
      </w:hyperlink>
      <w:r>
        <w:t xml:space="preserve"> - This article discusses the emergence of Creative Weight Attribution (CWA) as a transformative approach in AI music licensing. It highlights how CWA measures the influence of individual works within AI models, ensuring fairer and more transparent compensation for creators. The piece also explores the shift from traditional licensing models to those that prioritise consent, transparency, and verifiable attribution, aiming to protect the rights of creators in the evolving AI landscape.</w:t>
      </w:r>
      <w:r/>
    </w:p>
    <w:p>
      <w:pPr>
        <w:pStyle w:val="ListNumber"/>
        <w:spacing w:line="240" w:lineRule="auto"/>
        <w:ind w:left="720"/>
      </w:pPr>
      <w:r/>
      <w:hyperlink r:id="rId12">
        <w:r>
          <w:rPr>
            <w:color w:val="0000EE"/>
            <w:u w:val="single"/>
          </w:rPr>
          <w:t>https://allrights-aixchange.com/</w:t>
        </w:r>
      </w:hyperlink>
      <w:r>
        <w:t xml:space="preserve"> - AIxchange is a platform dedicated to enabling ethical AI music licensing. It offers a transparent, consent-based framework for licensing music into generative AI systems, ensuring that creators maintain control over their work. The platform collaborates with various industry partners, including AFEM, to promote fair compensation and protect human creativity in the age of AI. AIxchange also supports initiatives like Rave The Planet 2026 Demand, advocating for the protection of artistic and cultural works in AI applications.</w:t>
      </w:r>
      <w:r/>
    </w:p>
    <w:p>
      <w:pPr>
        <w:pStyle w:val="ListNumber"/>
        <w:spacing w:line="240" w:lineRule="auto"/>
        <w:ind w:left="720"/>
      </w:pPr>
      <w:r/>
      <w:hyperlink r:id="rId13">
        <w:r>
          <w:rPr>
            <w:color w:val="0000EE"/>
            <w:u w:val="single"/>
          </w:rPr>
          <w:t>https://www.sound-deal.com/blog/ai-music-contracts-2026</w:t>
        </w:r>
      </w:hyperlink>
      <w:r>
        <w:t xml:space="preserve"> - This blog post provides guidance on essential clauses that artists should include in their contracts to protect their rights in the age of AI-generated music. It emphasises the importance of training data consent, synthetic voice protection, and clear agreements for AI-generated works. The article aims to equip artists with the knowledge to navigate the complexities of AI in music, ensuring they retain control over their creations and receive fair compensation.</w:t>
      </w:r>
      <w:r/>
    </w:p>
    <w:p>
      <w:pPr>
        <w:pStyle w:val="ListNumber"/>
        <w:spacing w:line="240" w:lineRule="auto"/>
        <w:ind w:left="720"/>
      </w:pPr>
      <w:r/>
      <w:hyperlink r:id="rId14">
        <w:r>
          <w:rPr>
            <w:color w:val="0000EE"/>
            <w:u w:val="single"/>
          </w:rPr>
          <w:t>https://www.commercialintegrator.com/insights/music-compliance-in-2026-what-integrators-need-to-know/145742/</w:t>
        </w:r>
      </w:hyperlink>
      <w:r>
        <w:t xml:space="preserve"> - This article addresses the evolving landscape of music compliance for commercial AV integrators in 2026. It highlights the importance of understanding licensing requirements, especially with the rise of AI-generated music. The piece discusses the need for integrators to ensure that music systems align with current regulatory and usage expectations, emphasising the role of transparency and proper licensing in system design and client relationships.</w:t>
      </w:r>
      <w:r/>
    </w:p>
    <w:p>
      <w:pPr>
        <w:pStyle w:val="ListNumber"/>
        <w:spacing w:line="240" w:lineRule="auto"/>
        <w:ind w:left="720"/>
      </w:pPr>
      <w:r/>
      <w:hyperlink r:id="rId15">
        <w:r>
          <w:rPr>
            <w:color w:val="0000EE"/>
            <w:u w:val="single"/>
          </w:rPr>
          <w:t>https://undetectr.com/blog/ai-music-disclosure-rules-2026</w:t>
        </w:r>
      </w:hyperlink>
      <w:r>
        <w:t xml:space="preserve"> - This comprehensive guide outlines the mandatory disclosure rules for AI-generated music across major streaming platforms as of March 2026. It details the requirements for declaring AI involvement in music, the distinctions between 'AI-assisted' and 'AI-generated' content, and the consequences of non-disclosure. The article serves as a crucial resource for creators and distributors to navigate the regulatory landscape of AI in music, ensuring compliance and transparency.</w:t>
      </w:r>
      <w:r/>
    </w:p>
    <w:p>
      <w:pPr>
        <w:pStyle w:val="ListNumber"/>
        <w:spacing w:line="240" w:lineRule="auto"/>
        <w:ind w:left="720"/>
      </w:pPr>
      <w:r/>
      <w:hyperlink r:id="rId11">
        <w:r>
          <w:rPr>
            <w:color w:val="0000EE"/>
            <w:u w:val="single"/>
          </w:rPr>
          <w:t>https://musically.com/2025/05/14/aixchange-wants-to-help-ai-companies-license-music/</w:t>
        </w:r>
      </w:hyperlink>
      <w:r>
        <w:t xml:space="preserve"> - This article introduces AIxchange, a German startup aiming to bridge the gap between the music industry and generative AI companies through licensing deals. It discusses AIxchange's mission to provide legal, high-quality music training data, ensuring ethical and compliant licensing for AI music generation. The piece highlights the company's efforts to create a new ecosystem for music licensing in the AI era, emphasising the importance of collaboration between music rights holders and AI developers.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antananews.com/2026/04/las-alianzas-de-alxchange-incluyen.html" TargetMode="External"/><Relationship Id="rId10" Type="http://schemas.openxmlformats.org/officeDocument/2006/relationships/hyperlink" Target="https://www.digitalmusicnews.com/2026/01/26/ai-licensing-shift-creative-weight-attribution/" TargetMode="External"/><Relationship Id="rId11" Type="http://schemas.openxmlformats.org/officeDocument/2006/relationships/hyperlink" Target="https://musically.com/2025/05/14/aixchange-wants-to-help-ai-companies-license-music/" TargetMode="External"/><Relationship Id="rId12" Type="http://schemas.openxmlformats.org/officeDocument/2006/relationships/hyperlink" Target="https://allrights-aixchange.com/" TargetMode="External"/><Relationship Id="rId13" Type="http://schemas.openxmlformats.org/officeDocument/2006/relationships/hyperlink" Target="https://www.sound-deal.com/blog/ai-music-contracts-2026" TargetMode="External"/><Relationship Id="rId14" Type="http://schemas.openxmlformats.org/officeDocument/2006/relationships/hyperlink" Target="https://www.commercialintegrator.com/insights/music-compliance-in-2026-what-integrators-need-to-know/145742/" TargetMode="External"/><Relationship Id="rId15" Type="http://schemas.openxmlformats.org/officeDocument/2006/relationships/hyperlink" Target="https://undetectr.com/blog/ai-music-disclosure-rules-202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