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AI policy risks further marginalising domestic culture, warns expert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Michael Geist has warned that a House of Commons heritage committee recommendation on artificial intelligence could leave Canadian culture less visible, not more, in the systems increasingly used to search, summarise and generate information. Writing after the committee’s report on AI and the creative industries was published this month, he argued that the panel recognised the risk of Canadian works being under-represented in training data, but then embraced a rule that would make access to those works harder.</w:t>
      </w:r>
      <w:r/>
    </w:p>
    <w:p>
      <w:r/>
      <w:r>
        <w:t>At the heart of the dispute is the committee’s call for an explicit opt-in requirement before copyrighted works can be used to train AI systems. Geist says that would put Canada well outside the approach taken in several other jurisdictions. He points to the European Union’s text-and-data-mining regime, which generally allows use unless rights holders reserve their rights, as well as broader permissions in Japan, Singapore and parts of the United States, where AI training is treated more permissively under existing copyright doctrines. Canada’s own privacy regulator has separately stressed that AI systems should be built and used with a clear legal basis, meaningful consent where personal information is involved, and greater transparency and accountability.</w:t>
      </w:r>
      <w:r/>
    </w:p>
    <w:p>
      <w:r/>
      <w:r>
        <w:t>The policy concern is not theoretical. Geist argues that Canada has already seen what happens when law and platform economics collide in the online information space: after the Online News Act created a regime requiring payment for news links, Meta blocked news content for Canadian users. He says a similar effect could follow if AI developers face extra costs and procedural hurdles before they can include Canadian material in their models. The same concern has been raised elsewhere. The Office of the Privacy Commissioner of Canada reported last year that LinkedIn paused the use of Canadian members’ personal information for AI training after questions about notice and consent, underlining the sensitivity of data use in this area.</w:t>
      </w:r>
      <w:r/>
    </w:p>
    <w:p>
      <w:r/>
      <w:r>
        <w:t>There is also a deeper copyright issue. Canada’s fair dealing provisions already allow copyrighted material to be used for purposes such as research and private study, and Geist contends that much text and data mining for AI training could already fit within that framework. An opt-in rule would therefore do more than add certainty: it would effectively reshape the balance by requiring prior authorisation where current law does not clearly demand it. That mirrors a wider international debate, with organisations and policy analysts split between those who argue that explicit consent best protects creators and those who warn that opt-out systems are harder to administer and may still fail to keep protected works out of training sets.</w:t>
      </w:r>
      <w:r/>
    </w:p>
    <w:p>
      <w:r/>
      <w:r>
        <w:t>Geist also questions how the committee reached such a sweeping conclusion. He says the hearings were dominated by collective rights organisations, cultural industry bodies and advocacy groups, while witnesses with more sceptical views on regulation were much less influential in the final recommendations. Industry submissions to Canada’s AI consultation have also warned that rigid opt-out or opt-in systems may reduce the diversity of training data and worsen bias, a point echoed in a policy document from Innovation, Science and Economic Development Canada. The result, in Geist’s view, is a report that presents itself as pro-innovation while recommending a framework that would make Canadian content harder to find inside the AI tools that are already shaping global access to culture.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chaelgeist.ca/2026/04/ai-without-canada-why-the-heritage-committees-ai-report-could-lead-to-less-canadian-content-in-the-training-data/?utm_source=rss&amp;utm_medium=rss&amp;utm_campaign=ai-without-canada-why-the-heritage-committees-ai-report-could-lead-to-less-canadian-content-in-the-training-data</w:t>
        </w:r>
      </w:hyperlink>
      <w:r>
        <w:t xml:space="preserve"> - Please view link - unable to able to access data</w:t>
      </w:r>
      <w:r/>
    </w:p>
    <w:p>
      <w:pPr>
        <w:pStyle w:val="ListNumber"/>
        <w:spacing w:line="240" w:lineRule="auto"/>
        <w:ind w:left="720"/>
      </w:pPr>
      <w:r/>
      <w:hyperlink r:id="rId10">
        <w:r>
          <w:rPr>
            <w:color w:val="0000EE"/>
            <w:u w:val="single"/>
          </w:rPr>
          <w:t>https://www.priv.gc.ca/en/privacy-topics/technology/artificial-intelligence/gd_principles_ai/</w:t>
        </w:r>
      </w:hyperlink>
      <w:r>
        <w:t xml:space="preserve"> - The Office of the Privacy Commissioner of Canada outlines principles for the development, provision, and use of generative AI systems. These principles emphasise the necessity of legal authority and meaningful consent for collecting and using personal information, ensuring that consent is specific and informed. They also stress the importance of appropriate purposes for data collection, use, and disclosure, advocating for transparency and accountability in AI systems to protect individual privacy rights.</w:t>
      </w:r>
      <w:r/>
    </w:p>
    <w:p>
      <w:pPr>
        <w:pStyle w:val="ListNumber"/>
        <w:spacing w:line="240" w:lineRule="auto"/>
        <w:ind w:left="720"/>
      </w:pPr>
      <w:r/>
      <w:hyperlink r:id="rId11">
        <w:r>
          <w:rPr>
            <w:color w:val="0000EE"/>
            <w:u w:val="single"/>
          </w:rPr>
          <w:t>https://better-robots.com/blog/ai-opt-out-legal-landscape</w:t>
        </w:r>
      </w:hyperlink>
      <w:r>
        <w:t xml:space="preserve"> - This article provides an overview of the evolving legal landscape regarding AI training data and the rights of content creators. It discusses the tension between fair use and exclusive rights arguments, highlighting the complexities of AI training within existing copyright frameworks. The piece also examines the European Union's opt-out mechanisms and Canada's approach to AI governance, noting the challenges in implementing effective opt-out systems for AI training data.</w:t>
      </w:r>
      <w:r/>
    </w:p>
    <w:p>
      <w:pPr>
        <w:pStyle w:val="ListNumber"/>
        <w:spacing w:line="240" w:lineRule="auto"/>
        <w:ind w:left="720"/>
      </w:pPr>
      <w:r/>
      <w:hyperlink r:id="rId12">
        <w:r>
          <w:rPr>
            <w:color w:val="0000EE"/>
            <w:u w:val="single"/>
          </w:rPr>
          <w:t>https://www.brookings.edu/articles/the-case-for-consent-in-the-ai-data-gold-rush/</w:t>
        </w:r>
      </w:hyperlink>
      <w:r>
        <w:t xml:space="preserve"> - Brookings Institution discusses the importance of explicit opt-in consent from rights holders for AI training. The article argues that such consent aligns with foundational copyright principles and reinforces content creators' authority over their work. It also highlights the debate between opt-in and opt-out models, noting that an opt-out approach places the burden on rights holders, potentially undermining copyright protections.</w:t>
      </w:r>
      <w:r/>
    </w:p>
    <w:p>
      <w:pPr>
        <w:pStyle w:val="ListNumber"/>
        <w:spacing w:line="240" w:lineRule="auto"/>
        <w:ind w:left="720"/>
      </w:pPr>
      <w:r/>
      <w:hyperlink r:id="rId15">
        <w:r>
          <w:rPr>
            <w:color w:val="0000EE"/>
            <w:u w:val="single"/>
          </w:rPr>
          <w:t>https://www.ietf.org/ietf-ftp/slides/slides-aicontrolws-considerations-for-opt-out-compliance-policies-by-ai-model-developers-00.pdf</w:t>
        </w:r>
      </w:hyperlink>
      <w:r>
        <w:t xml:space="preserve"> - This document from the Internet Engineering Task Force (IETF) explores considerations for opt-out compliance policies by AI model developers. It discusses the implications of opt-out mechanisms, including the challenges in ensuring that opted-out works are excluded from training data. The paper also addresses the limitations of current technology in removing opted-out content from existing AI models and the need for clear communication regarding opt-out cut-off dates.</w:t>
      </w:r>
      <w:r/>
    </w:p>
    <w:p>
      <w:pPr>
        <w:pStyle w:val="ListNumber"/>
        <w:spacing w:line="240" w:lineRule="auto"/>
        <w:ind w:left="720"/>
      </w:pPr>
      <w:r/>
      <w:hyperlink r:id="rId13">
        <w:r>
          <w:rPr>
            <w:color w:val="0000EE"/>
            <w:u w:val="single"/>
          </w:rPr>
          <w:t>https://www.priv.gc.ca/en/opc-news/news-and-announcements/2024/nr-c_241210b/?wbdisable=true</w:t>
        </w:r>
      </w:hyperlink>
      <w:r>
        <w:t xml:space="preserve"> - The Office of the Privacy Commissioner of Canada reports on LinkedIn's commitment to pause using Canadian members' personal information for training AI models. This decision follows concerns about the company's practice of training AI systems without notifying individuals, highlighting the importance of obtaining consent for AI training data usage.</w:t>
      </w:r>
      <w:r/>
    </w:p>
    <w:p>
      <w:pPr>
        <w:pStyle w:val="ListNumber"/>
        <w:spacing w:line="240" w:lineRule="auto"/>
        <w:ind w:left="720"/>
      </w:pPr>
      <w:r/>
      <w:hyperlink r:id="rId14">
        <w:r>
          <w:rPr>
            <w:color w:val="0000EE"/>
            <w:u w:val="single"/>
          </w:rPr>
          <w:t>https://ised-isde.canada.ca/site/secteur-politique-strategique/fr/politique-dencadrement-marche/politique-droit-dauteur/consultation-droit-dauteur-lere-lintelligence-artificielle-generative-commentaires-c-d</w:t>
        </w:r>
      </w:hyperlink>
      <w:r>
        <w:t xml:space="preserve"> - This consultation document discusses the implications of AI on copyright law in Canada. It addresses the challenges of implementing opt-out mechanisms for AI training data, noting potential unintended consequences such as limiting data sources and contributing to bias in AI outputs. The document suggests that liability for copyright infringement should be determined in courts and emphasizes the need for careful evaluation of AI's impact on various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chaelgeist.ca/2026/04/ai-without-canada-why-the-heritage-committees-ai-report-could-lead-to-less-canadian-content-in-the-training-data/?utm_source=rss&amp;utm_medium=rss&amp;utm_campaign=ai-without-canada-why-the-heritage-committees-ai-report-could-lead-to-less-canadian-content-in-the-training-data" TargetMode="External"/><Relationship Id="rId10" Type="http://schemas.openxmlformats.org/officeDocument/2006/relationships/hyperlink" Target="https://www.priv.gc.ca/en/privacy-topics/technology/artificial-intelligence/gd_principles_ai/" TargetMode="External"/><Relationship Id="rId11" Type="http://schemas.openxmlformats.org/officeDocument/2006/relationships/hyperlink" Target="https://better-robots.com/blog/ai-opt-out-legal-landscape" TargetMode="External"/><Relationship Id="rId12" Type="http://schemas.openxmlformats.org/officeDocument/2006/relationships/hyperlink" Target="https://www.brookings.edu/articles/the-case-for-consent-in-the-ai-data-gold-rush/" TargetMode="External"/><Relationship Id="rId13" Type="http://schemas.openxmlformats.org/officeDocument/2006/relationships/hyperlink" Target="https://www.priv.gc.ca/en/opc-news/news-and-announcements/2024/nr-c_241210b/?wbdisable=true" TargetMode="External"/><Relationship Id="rId14" Type="http://schemas.openxmlformats.org/officeDocument/2006/relationships/hyperlink" Target="https://ised-isde.canada.ca/site/secteur-politique-strategique/fr/politique-dencadrement-marche/politique-droit-dauteur/consultation-droit-dauteur-lere-lintelligence-artificielle-generative-commentaires-c-d" TargetMode="External"/><Relationship Id="rId15" Type="http://schemas.openxmlformats.org/officeDocument/2006/relationships/hyperlink" Target="https://www.ietf.org/ietf-ftp/slides/slides-aicontrolws-considerations-for-opt-out-compliance-policies-by-ai-model-developers-00.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