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Digital Omnibus proposal aims to curb indefinite exclusive digitisation deals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European Commission’s planned Digital Omnibus is opening a fresh debate over a corner of EU law that campaigners say has never worked as intended: the rules meant to stop cultural heritage digitisation deals from locking up public-domain books for years on end. The proposal would fold the Open Data Directive into an expanded Data Act and, in doing so, revisit Article 12(3), the clause governing exclusive arrangements in public-private digitisation partnerships. According to the Commission’s own proposal, the change is presented as largely technical, but critics see a chance to fix a long-standing enforcement gap. </w:t>
      </w:r>
      <w:r/>
    </w:p>
    <w:p>
      <w:r/>
      <w:r>
        <w:t xml:space="preserve">Communia, a digital rights group, says the problem is no longer theoretical. In a blog post published on 27 April 2026, it argues that the rule stating exclusivity should "in general" last no more than 10 years has not been observed in practice. The group says digitisation agreements involving major commercial partners and European libraries remain opaque, often covered by non-disclosure agreements, and in some cases appear to grant exclusive access indefinitely. It estimates that at least 2 million public-domain books are currently caught by arrangements that would fall outside a genuine 10-year ceiling. </w:t>
      </w:r>
      <w:r/>
    </w:p>
    <w:p>
      <w:r/>
      <w:r>
        <w:t xml:space="preserve">The issue matters well beyond copyright housekeeping. The European Commission has already warned that member states need to move faster on digitising cultural heritage, and it has stressed the value of collaboration with private partners to improve online access to Europe’s collections. At the same time, EU policy on AI increasingly depends on access to large volumes of lawful training material. Communia argues that the current system leaves libraries unable to make digitised public-domain works broadly available for AI development, while giving incumbents an advantage over smaller European developers. Academic work on the interaction between AI, copyright and cultural heritage also shows how sensitive the legal landscape has become as institutions try to balance access, rights and innovation. </w:t>
      </w:r>
      <w:r/>
    </w:p>
    <w:p>
      <w:r/>
      <w:r>
        <w:t xml:space="preserve">Its proposed fix is straightforward: turn the 10-year language into a hard maximum, remove the review mechanism that has rarely, if ever, constrained long-running deals, and consider making the agreements public on the websites of the institutions that sign them. The group says this would give libraries a clearer legal basis to challenge old arrangements and would not impose new retroactive penalties on private partners. Instead, it would make clear that existing and future agreements need to come into line with EU law. Supporters of stricter rules on re-use have long argued that transparency and periodic review are essential if digitised public-domain material is to remain genuinely accessible, rather than becoming monopolised through contractual workarounds.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https://communia-association.org/2026/04/27/how-could-the-digital-omnibus-save-public-domain-books-from-exclusive-arrangements/</w:t>
        </w:r>
      </w:hyperlink>
      <w:r>
        <w:t xml:space="preserve"> - Please view link - unable to able to access data</w:t>
      </w:r>
      <w:r/>
    </w:p>
    <w:p>
      <w:pPr>
        <w:pStyle w:val="ListNumber"/>
        <w:spacing w:line="240" w:lineRule="auto"/>
        <w:ind w:left="720"/>
      </w:pPr>
      <w:r/>
      <w:hyperlink r:id="rId10">
        <w:r>
          <w:rPr>
            <w:color w:val="0000EE"/>
            <w:u w:val="single"/>
          </w:rPr>
          <w:t>https://eur-lex.europa.eu/legal-content/EN/TXT/?qid=1764840573622&amp;uri=CELEX%3A52025PC0837</w:t>
        </w:r>
      </w:hyperlink>
      <w:r>
        <w:t xml:space="preserve"> - The European Commission's Digital Omnibus proposal aims to integrate provisions of the Open Data Directive into an expanded Data Act. This includes amending Article 12(3) to establish a maximum exclusivity period of 10 years for digitisation agreements between cultural heritage institutions and commercial entities, addressing concerns over prolonged exclusive rights that hinder public access to digitised cultural resources.</w:t>
      </w:r>
      <w:r/>
    </w:p>
    <w:p>
      <w:pPr>
        <w:pStyle w:val="ListNumber"/>
        <w:spacing w:line="240" w:lineRule="auto"/>
        <w:ind w:left="720"/>
      </w:pPr>
      <w:r/>
      <w:hyperlink r:id="rId13">
        <w:r>
          <w:rPr>
            <w:color w:val="0000EE"/>
            <w:u w:val="single"/>
          </w:rPr>
          <w:t>https://digital-strategy.ec.europa.eu/en/news/eu-report-calls-member-states-accelerate-digitisation-cultural-heritage</w:t>
        </w:r>
      </w:hyperlink>
      <w:r>
        <w:t xml:space="preserve"> - The European Commission's report, 'The Future of Europe’s Past – Why Member States must do more to advance digitisation for Cultural Heritage', assesses the progress of EU Member States in digitising cultural heritage. It highlights the need for increased efforts and collaboration with the private sector to enhance online access to Europe's diverse cultural heritage, underscoring the importance of public-private partnerships in digitisation initiatives.</w:t>
      </w:r>
      <w:r/>
    </w:p>
    <w:p>
      <w:pPr>
        <w:pStyle w:val="ListNumber"/>
        <w:spacing w:line="240" w:lineRule="auto"/>
        <w:ind w:left="720"/>
      </w:pPr>
      <w:r/>
      <w:hyperlink r:id="rId14">
        <w:r>
          <w:rPr>
            <w:color w:val="0000EE"/>
            <w:u w:val="single"/>
          </w:rPr>
          <w:t>https://openhumanitiesdata.metajnl.com/articles/10.5334/johd.290</w:t>
        </w:r>
      </w:hyperlink>
      <w:r>
        <w:t xml:space="preserve"> - This position paper discusses the intersection of AI and copyright in cultural heritage and research within the EU and UK. It examines the implications of the Directive on Copyright in the Digital Single Market (CDSM Directive) and the AI Act, focusing on exceptions for text and data mining by research organisations and cultural heritage institutions, and the legal framework supporting AI development in these sectors.</w:t>
      </w:r>
      <w:r/>
    </w:p>
    <w:p>
      <w:pPr>
        <w:pStyle w:val="ListNumber"/>
        <w:spacing w:line="240" w:lineRule="auto"/>
        <w:ind w:left="720"/>
      </w:pPr>
      <w:r/>
      <w:hyperlink r:id="rId11">
        <w:r>
          <w:rPr>
            <w:color w:val="0000EE"/>
            <w:u w:val="single"/>
          </w:rPr>
          <w:t>https://digitalcompliance.snellman.com/regulation/open-data-directive/chapter-iii-conditions-for-re-use-art-5-10/</w:t>
        </w:r>
      </w:hyperlink>
      <w:r>
        <w:t xml:space="preserve"> - An analysis of Chapter III of the EU Open Data Directive, focusing on conditions for re-use of public sector information. It highlights the prohibition of exclusive arrangements, the necessity for regular reviews of exclusive rights, and the requirement for transparency in agreements, particularly concerning the digitisation of cultural resources, to ensure public domain material remains accessible.</w:t>
      </w:r>
      <w:r/>
    </w:p>
    <w:p>
      <w:pPr>
        <w:pStyle w:val="ListNumber"/>
        <w:spacing w:line="240" w:lineRule="auto"/>
        <w:ind w:left="720"/>
      </w:pPr>
      <w:r/>
      <w:hyperlink r:id="rId12">
        <w:r>
          <w:rPr>
            <w:color w:val="0000EE"/>
            <w:u w:val="single"/>
          </w:rPr>
          <w:t>https://openfuture.eu/wp-content/uploads/2024/11/241127_Demonopolizing-the-European-Public-Domain.pdf</w:t>
        </w:r>
      </w:hyperlink>
      <w:r>
        <w:t xml:space="preserve"> - This document examines Article 12 of the Open Data Directive, particularly paragraphs 3 and 5, which pertain to exclusive arrangements in the digitisation of cultural resources. It discusses the rationale behind these provisions and their impact on public-private partnerships, such as those between European libraries and Google, aiming to balance private investment with public access to digitised cultural heritage.</w:t>
      </w:r>
      <w:r/>
    </w:p>
    <w:p>
      <w:pPr>
        <w:pStyle w:val="ListNumber"/>
        <w:spacing w:line="240" w:lineRule="auto"/>
        <w:ind w:left="720"/>
      </w:pPr>
      <w:r/>
      <w:hyperlink r:id="rId16">
        <w:r>
          <w:rPr>
            <w:color w:val="0000EE"/>
            <w:u w:val="single"/>
          </w:rPr>
          <w:t>https://academic.oup.com/jlb/article/9/2/lsac035/6840099</w:t>
        </w:r>
      </w:hyperlink>
      <w:r>
        <w:t xml:space="preserve"> - This article explores the EU Data Governance Act and its role in facilitating the re-use of data, including digital sequence information. It discusses how the Act complements the Open Data Directive by applying to data whose re-use is conditional on rights like commercial confidentiality or intellectual property protection, aiming to enhance data availability for research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mmunia-association.org/2026/04/27/how-could-the-digital-omnibus-save-public-domain-books-from-exclusive-arrangements/" TargetMode="External"/><Relationship Id="rId10" Type="http://schemas.openxmlformats.org/officeDocument/2006/relationships/hyperlink" Target="https://eur-lex.europa.eu/legal-content/EN/TXT/?qid=1764840573622&amp;uri=CELEX%3A52025PC0837" TargetMode="External"/><Relationship Id="rId11" Type="http://schemas.openxmlformats.org/officeDocument/2006/relationships/hyperlink" Target="https://digitalcompliance.snellman.com/regulation/open-data-directive/chapter-iii-conditions-for-re-use-art-5-10/" TargetMode="External"/><Relationship Id="rId12" Type="http://schemas.openxmlformats.org/officeDocument/2006/relationships/hyperlink" Target="https://openfuture.eu/wp-content/uploads/2024/11/241127_Demonopolizing-the-European-Public-Domain.pdf" TargetMode="External"/><Relationship Id="rId13" Type="http://schemas.openxmlformats.org/officeDocument/2006/relationships/hyperlink" Target="https://digital-strategy.ec.europa.eu/en/news/eu-report-calls-member-states-accelerate-digitisation-cultural-heritage" TargetMode="External"/><Relationship Id="rId14" Type="http://schemas.openxmlformats.org/officeDocument/2006/relationships/hyperlink" Target="https://openhumanitiesdata.metajnl.com/articles/10.5334/johd.290" TargetMode="External"/><Relationship Id="rId15" Type="http://schemas.openxmlformats.org/officeDocument/2006/relationships/hyperlink" Target="https://www.noahwire.com" TargetMode="External"/><Relationship Id="rId16" Type="http://schemas.openxmlformats.org/officeDocument/2006/relationships/hyperlink" Target="https://academic.oup.com/jlb/article/9/2/lsac035/68400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