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 markets evolve as infrastructure becomes key to performance and trust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Prediction markets are becoming a test case for how much technology can shape financial behaviour, with the underlying stack now influencing speed, trust and ultimately whether users stay. Idea Usher argues that the sector’s growth is being driven by demand for real-time forecasting, decentralised finance and incentive-based data systems, and that the real product is no longer just the market idea but the infrastructure behind it. The company’s view is that builders who want serious liquidity need to think in layers: fast execution, secure settlement and reliable external data feeds.</w:t>
      </w:r>
      <w:r/>
    </w:p>
    <w:p>
      <w:r/>
      <w:r>
        <w:t>That argument matters because prediction markets have moved well beyond a novelty. The article points to rising interest in platforms that turn uncertain events into tradable contracts, from politics and macroeconomic hedging to sports and corporate forecasting. It also highlights the appeal of market-based signals over traditional polling, especially in periods when users want information backed by financial stakes rather than survey responses. In that sense, prediction markets are increasingly framed not as betting products, but as systems for pricing collective belief.</w:t>
      </w:r>
      <w:r/>
    </w:p>
    <w:p>
      <w:r/>
      <w:r>
        <w:t>The technical challenge is that these platforms are unusually sensitive to delay. A sluggish order book, slow price refresh or unreliable settlement layer can quickly undermine confidence, especially when traders expect movement measured in milliseconds. The article’s central claim is that a hybrid architecture often offers the best balance: off-chain matching for speed, on-chain settlement for trust, and an oracle layer to bring real-world outcomes into the system. That structure, it says, helps platforms avoid the trap of being either too slow to use or too centralised to trust.</w:t>
      </w:r>
      <w:r/>
    </w:p>
    <w:p>
      <w:r/>
      <w:r>
        <w:t>It also makes the case that poor infrastructure choices can damage more than performance. Latency, according to the article, does not just irritate users; it can widen spreads, discourage market makers and drive serious participants elsewhere. For that reason, the stack has to do more than function at launch. It has to support high concurrency, real-time updates and enough resilience to handle sudden spikes in activity when breaking news or live events concentrate demand on a single market.</w:t>
      </w:r>
      <w:r/>
    </w:p>
    <w:p>
      <w:r/>
      <w:r>
        <w:t>The architectural discussion extends to the choice between automated market makers and order books, as well as the role of smart contracts, escrow and dispute resolution. The article treats blockchain as the foundation of settlement rather than the place where every action must happen, arguing that full on-chain execution often introduces unnecessary friction. It also stresses the importance of oracle design, with systems such as Chainlink and UMA positioned as tools for confirming outcomes and resolving ambiguous cases. In practical terms, the message is clear: trust in prediction markets depends as much on the quality of the plumbing as on the quality of the idea.</w:t>
      </w:r>
      <w:r/>
    </w:p>
    <w:p>
      <w:r/>
      <w:r>
        <w:t>For developers, the article advises against overbuilding too early or choosing tools simply because they are fashionable. Instead, it recommends matching the stack to the market’s audience, regulatory setting and liquidity profile, then scaling only when the user base demands it. That means a careful balance of frontend responsiveness, backend throughput and secure blockchain settlement, rather than a one-size-fits-all template. The broader conclusion is that prediction markets are only as credible as the systems that power them, and the winners in this space will be those who can make speed, security and usability work together.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https://ideausher.com/blog/tech-stack-prediction-market-apps/</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deausher.com/blog/tech-stack-prediction-market-apps/"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