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Embedded Supervision for Tokenised Finance: Bermuda’s Live Compliance Pilot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innovation are watching Bermuda after a groundbreaking trial showed how compliance can live inside blockchain rails, not just beside them; regulators, infrastructure firms and custodians tested identity, reserve checks and transaction rules in real time to see if enforcement at the point of execution can finally tame tokenised risk.</w:t>
      </w:r>
      <w:r/>
    </w:p>
    <w:p>
      <w:r/>
      <w:r>
        <w:t>Essential Takeaways</w:t>
      </w:r>
      <w:r/>
      <w:r/>
    </w:p>
    <w:p>
      <w:pPr>
        <w:pStyle w:val="ListBullet"/>
        <w:spacing w:line="240" w:lineRule="auto"/>
        <w:ind w:left="720"/>
      </w:pPr>
      <w:r/>
      <w:r>
        <w:rPr>
          <w:b/>
        </w:rPr>
        <w:t>Real-time enforcement:</w:t>
      </w:r>
      <w:r>
        <w:t xml:space="preserve"> Non-compliant transactions were stopped before settlement, with alerts generated in milliseconds and a clear, machine-speed feel to surveillance.</w:t>
      </w:r>
      <w:r/>
    </w:p>
    <w:p>
      <w:pPr>
        <w:pStyle w:val="ListBullet"/>
        <w:spacing w:line="240" w:lineRule="auto"/>
        <w:ind w:left="720"/>
      </w:pPr>
      <w:r/>
      <w:r>
        <w:rPr>
          <w:b/>
        </w:rPr>
        <w:t>Identity baked in:</w:t>
      </w:r>
      <w:r>
        <w:t xml:space="preserve"> Issuer credentials and licensing were enforced on‑chain using Bluprynt’s Know Your Issuer logic, so tokens could be blocked at minting if credentials failed.</w:t>
      </w:r>
      <w:r/>
    </w:p>
    <w:p>
      <w:pPr>
        <w:pStyle w:val="ListBullet"/>
        <w:spacing w:line="240" w:lineRule="auto"/>
        <w:ind w:left="720"/>
      </w:pPr>
      <w:r/>
      <w:r>
        <w:rPr>
          <w:b/>
        </w:rPr>
        <w:t>Independent reserve proof:</w:t>
      </w:r>
      <w:r>
        <w:t xml:space="preserve"> Apex Group supplied authenticated reserve data for Chainlink’s Proof of Reserve tools, reducing reliance on self-reported collateral.</w:t>
      </w:r>
      <w:r/>
    </w:p>
    <w:p>
      <w:pPr>
        <w:pStyle w:val="ListBullet"/>
        <w:spacing w:line="240" w:lineRule="auto"/>
        <w:ind w:left="720"/>
      </w:pPr>
      <w:r/>
      <w:r>
        <w:rPr>
          <w:b/>
        </w:rPr>
        <w:t>Cross-chain continuity:</w:t>
      </w:r>
      <w:r>
        <w:t xml:space="preserve"> Compliance metadata survived transfers between chains, maintaining policy controls across networks.</w:t>
      </w:r>
      <w:r/>
    </w:p>
    <w:p>
      <w:pPr>
        <w:pStyle w:val="ListBullet"/>
        <w:spacing w:line="240" w:lineRule="auto"/>
        <w:ind w:left="720"/>
      </w:pPr>
      <w:r/>
      <w:r>
        <w:rPr>
          <w:b/>
        </w:rPr>
        <w:t>Infrastructure-first shift:</w:t>
      </w:r>
      <w:r>
        <w:t xml:space="preserve"> The pilot marks a move from periodic reporting to embedded supervision, reshaping how regulated tokenised products might be built.</w:t>
      </w:r>
      <w:r/>
      <w:r/>
    </w:p>
    <w:p>
      <w:pPr>
        <w:pStyle w:val="Heading2"/>
      </w:pPr>
      <w:r>
        <w:t>Why Bermuda ran this experiment , and why it smells important</w:t>
      </w:r>
      <w:r/>
    </w:p>
    <w:p>
      <w:r/>
      <w:r>
        <w:t>Bermuda wanted to tackle the messy bits of digital assets: pseudonymous flows, fragmented jurisdictions and weak post-trade checks that let problems fester. The Monetary Authority teamed up with Chainlink, Apex Group, Bluprynt and Hacken to see if rule-checking could live where transactions actually happen, not in spreadsheets or quarterly reports. The pilot gave the whole thing a crisp, operational feel , alerts and halts happened in near real time, which is a different pace to how compliance usually feels.</w:t>
      </w:r>
      <w:r/>
    </w:p>
    <w:p>
      <w:pPr>
        <w:pStyle w:val="Heading2"/>
      </w:pPr>
      <w:r>
        <w:t>How the tech actually enforces rules during a transfer</w:t>
      </w:r>
      <w:r/>
    </w:p>
    <w:p>
      <w:r/>
      <w:r>
        <w:t>Chainlink supplied the policy enforcement layer and Proof of Reserve verification, while Bluprynt translated regulatory obligations into machine-readable credentials for issuers. That meant tokens could be prevented from issuing, or a transfer blocked, if the on‑chain policy determined a requirement wasn’t met. Think of it as a programmable bouncer: if the ID or reserves don’t check out, the door stays shut. For operators, that changes compliance from a retrospective chore into a live safety net.</w:t>
      </w:r>
      <w:r/>
    </w:p>
    <w:p>
      <w:pPr>
        <w:pStyle w:val="Heading2"/>
      </w:pPr>
      <w:r>
        <w:t>Why independent reserve data matters , Apex’s role explained</w:t>
      </w:r>
      <w:r/>
    </w:p>
    <w:p>
      <w:r/>
      <w:r>
        <w:t>One recurring weakness in token markets has been self-reported collateral. Apex Group acted as an independent administrator, pulling authenticated custodian data into the proof-of-reserve checks so the system could validate backing assets objectively. That external attestation is a practical way to build trust , and regulators like having an independent witness rather than taking an issuer’s word. For firms issuing tokenised products, it’s a reminder: if you want to be trusted, show evidence that’s independently verifiable.</w:t>
      </w:r>
      <w:r/>
    </w:p>
    <w:p>
      <w:pPr>
        <w:pStyle w:val="Heading2"/>
      </w:pPr>
      <w:r>
        <w:t>Surveillance at machine speed , what Hacken brought to the table</w:t>
      </w:r>
      <w:r/>
    </w:p>
    <w:p>
      <w:r/>
      <w:r>
        <w:t>Hacken’s tools layered real-time monitoring, anomaly detection and dashboard alerts across activity, tracking everything from sanctions hits to reserve deviations. The result was continuous, tamper-resistant surveillance that flags problems within milliseconds of a transaction appearing on the ledger. For compliance teams, that means fewer blind spots and faster reactions. It’s not a silver bullet , people still need to act on alerts , but it drastically shortens the time between incident and response.</w:t>
      </w:r>
      <w:r/>
    </w:p>
    <w:p>
      <w:pPr>
        <w:pStyle w:val="Heading2"/>
      </w:pPr>
      <w:r>
        <w:t>What this means for token issuers, custodians and regulators</w:t>
      </w:r>
      <w:r/>
    </w:p>
    <w:p>
      <w:r/>
      <w:r>
        <w:t>Embedded supervision changes incentives. Issuers will need stronger credentials and provable reserves to avoid being automatically blocked. Custodians and administrators may become central to trust as their data feeds into smart enforcement layers. Regulators get a path toward consistent, cross-border oversight if compliance metadata can travel with assets across chains. Yet this approach raises questions about governance, who sets the rules, and how changes are authorised , because when rules sit in infrastructure, updating them becomes a governance conversation, not just a policy paper.</w:t>
      </w:r>
      <w:r/>
    </w:p>
    <w:p>
      <w:pPr>
        <w:pStyle w:val="Heading2"/>
      </w:pPr>
      <w:r>
        <w:t>Practical tips if you’re tracking or building tokenised products</w:t>
      </w:r>
      <w:r/>
      <w:r/>
    </w:p>
    <w:p>
      <w:pPr>
        <w:pStyle w:val="ListBullet"/>
        <w:spacing w:line="240" w:lineRule="auto"/>
        <w:ind w:left="720"/>
      </w:pPr>
      <w:r/>
      <w:r>
        <w:t xml:space="preserve">Check whether a platform supports automated proof-of-reserve feeds from independent administrators; it’s rapidly becoming a credibility baseline. </w:t>
      </w:r>
      <w:r/>
    </w:p>
    <w:p>
      <w:pPr>
        <w:pStyle w:val="ListBullet"/>
        <w:spacing w:line="240" w:lineRule="auto"/>
        <w:ind w:left="720"/>
      </w:pPr>
      <w:r/>
      <w:r>
        <w:t xml:space="preserve">Ask how issuer credentials are authenticated and whether they’re machine-readable; manual licensing checks won’t cut it in embedded systems. </w:t>
      </w:r>
      <w:r/>
    </w:p>
    <w:p>
      <w:pPr>
        <w:pStyle w:val="ListBullet"/>
        <w:spacing w:line="240" w:lineRule="auto"/>
        <w:ind w:left="720"/>
      </w:pPr>
      <w:r/>
      <w:r>
        <w:t xml:space="preserve">Consider cross-chain policy continuity: if you intend to move assets, ensure compliance metadata survives the transfer. </w:t>
      </w:r>
      <w:r/>
    </w:p>
    <w:p>
      <w:pPr>
        <w:pStyle w:val="ListBullet"/>
        <w:spacing w:line="240" w:lineRule="auto"/>
        <w:ind w:left="720"/>
      </w:pPr>
      <w:r/>
      <w:r>
        <w:t>Treat alerts as workflow inputs: automated surveillance is useful only if processes exist to investigate and remediate fast.</w:t>
      </w:r>
      <w:r/>
      <w:r/>
    </w:p>
    <w:p>
      <w:r/>
      <w:r>
        <w:t>It's a small change with big implications: embedding supervision into the rails could make tokenised markets safer and more scalable, but it also forces a rethink about who controls rules and how oversight works in a programmable world.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1">
        <w:r>
          <w:rPr>
            <w:color w:val="0000EE"/>
            <w:u w:val="single"/>
          </w:rPr>
          <w:t>[4]</w:t>
        </w:r>
      </w:hyperlink>
      <w:r>
        <w:t xml:space="preserve">, </w:t>
      </w:r>
      <w:hyperlink r:id="rId12">
        <w:r>
          <w:rPr>
            <w:color w:val="0000EE"/>
            <w:u w:val="single"/>
          </w:rPr>
          <w:t>[3]</w:t>
        </w:r>
      </w:hyperlink>
      <w:r>
        <w:t xml:space="preserve">- Paragraph 4: </w:t>
      </w:r>
      <w:hyperlink r:id="rId11">
        <w:r>
          <w:rPr>
            <w:color w:val="0000EE"/>
            <w:u w:val="single"/>
          </w:rPr>
          <w:t>[4]</w:t>
        </w:r>
      </w:hyperlink>
      <w:r>
        <w:t xml:space="preserve">, </w:t>
      </w:r>
      <w:hyperlink r:id="rId10">
        <w:r>
          <w:rPr>
            <w:color w:val="0000EE"/>
            <w:u w:val="single"/>
          </w:rPr>
          <w:t>[2]</w:t>
        </w:r>
      </w:hyperlink>
      <w:r>
        <w:t xml:space="preserve">- Paragraph 5: </w:t>
      </w:r>
      <w:hyperlink r:id="rId11">
        <w:r>
          <w:rPr>
            <w:color w:val="0000EE"/>
            <w:u w:val="single"/>
          </w:rPr>
          <w:t>[4]</w:t>
        </w:r>
      </w:hyperlink>
      <w:r>
        <w:t xml:space="preserve">, </w:t>
      </w:r>
      <w:hyperlink r:id="rId10">
        <w:r>
          <w:rPr>
            <w:color w:val="0000EE"/>
            <w:u w:val="single"/>
          </w:rPr>
          <w:t>[2]</w:t>
        </w:r>
      </w:hyperlink>
      <w:r>
        <w:t xml:space="preserve">- Paragraph 6: </w:t>
      </w:r>
      <w:hyperlink r:id="rId11">
        <w:r>
          <w:rPr>
            <w:color w:val="0000EE"/>
            <w:u w:val="single"/>
          </w:rPr>
          <w:t>[4]</w:t>
        </w:r>
      </w:hyperlink>
      <w:r>
        <w:t xml:space="preserve">, </w:t>
      </w:r>
      <w:hyperlink r:id="rId12">
        <w:r>
          <w:rPr>
            <w:color w:val="0000EE"/>
            <w:u w:val="single"/>
          </w:rPr>
          <w:t>[3]</w:t>
        </w:r>
      </w:hyperlink>
      <w:r>
        <w:t xml:space="preserve">- Paragraph 7: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https://financefeeds.com/bermuda-pilot-embeds-digital-asset-compliance-directly-into-blockchain-infrastructure/</w:t>
        </w:r>
      </w:hyperlink>
      <w:r>
        <w:t xml:space="preserve"> - Please view link - unable to able to access data</w:t>
      </w:r>
      <w:r/>
    </w:p>
    <w:p>
      <w:pPr>
        <w:pStyle w:val="ListNumber"/>
        <w:spacing w:line="240" w:lineRule="auto"/>
        <w:ind w:left="720"/>
      </w:pPr>
      <w:r/>
      <w:hyperlink r:id="rId10">
        <w:r>
          <w:rPr>
            <w:color w:val="0000EE"/>
            <w:u w:val="single"/>
          </w:rPr>
          <w:t>https://chainlinktoday.com/chainlink-apex-group-bluprynt-hacken-partner-with-bermuda-monetary-authority-to-accelerate-digital-asset-compliance/</w:t>
        </w:r>
      </w:hyperlink>
      <w:r>
        <w:t xml:space="preserve"> - Chainlink, Apex Group, Bluprynt, and Hacken have collaborated with the Bermuda Monetary Authority (BMA) to develop the Embedded Supervision Solution. This initiative integrates regulatory requirements directly into digital asset infrastructure, enabling real-time enforcement. Chainlink's Automated Compliance Engine (ACE) evaluates policies at transaction time, while Proof of Reserve attests to off-chain collateral via decentralized oracle networks. Secure Mint halts issuance when reserve thresholds are breached, and the Cross-Chain Interoperability Protocol (CCIP) preserves compliance metadata across cross-chain transfers. The solution was deployed on Ethereum’s Sepolia and Base Sepolia testnets, operating across two integrated tracks: identity and compliance policy enforcement, and proof of reserve enforcement and asset surveillance. This approach aims to transition compliance from manual, post-hoc processes to automated enforcement built directly into financial infrastructure. Non-compliant transactions were blocked prior to finalization, including situations where issuer credentials were absent or reserve thresholds were not met. The BMA views this collaboration as indicative of its commitment to advancing the institutional adoption and development of digital assets, building on previous work with Chainlink and Apex Group on institutional-grade stablecoin infrastructure in Bermuda. Ishan Vishnoi, Vice President of Product and Operations at Chainlink Labs, commented, “We are excited to support the successful completion of the Embedded Supervision Solution with the Bermuda Monetary Authority, which demonstrates a new model for real-time, regulatory-friendly digital asset compliance.” Chris Brummer, CEO of Bluprynt, added, “The BMA pilot proved something the industry has been theorizing about for years: compliance doesn't have to be a reporting layer bolted on after the fact — it can be an infrastructure property enforced at the point of execution.” Yev Broshevan, CEO of Hacken, stated, “What we demonstrated here is that security and regulatory oversight are not separate workstreams: when you build surveillance at the infrastructure layer, compliance becomes continuous, tamper-resistant, and machine-speed.” Juan Andres Dudier Mendoza, Product Head, Digital Asset Stablecoin at Apex Group, remarked, “By acting as a trusted, independent administrator, Apex Group enabled reliable information to be brought on-chain through Proof of Reserve, delivering auditability, transparency, and a critical foundation for embedded supervision.”</w:t>
      </w:r>
      <w:r/>
    </w:p>
    <w:p>
      <w:pPr>
        <w:pStyle w:val="ListNumber"/>
        <w:spacing w:line="240" w:lineRule="auto"/>
        <w:ind w:left="720"/>
      </w:pPr>
      <w:r/>
      <w:hyperlink r:id="rId12">
        <w:r>
          <w:rPr>
            <w:color w:val="0000EE"/>
            <w:u w:val="single"/>
          </w:rPr>
          <w:t>https://www.digitalassetsedge.com/digitalassetsedgenews/custodyandadministrationarticle.php?article_id=228717</w:t>
        </w:r>
      </w:hyperlink>
      <w:r>
        <w:t xml:space="preserve"> - Chainlink, Apex Group, Bluprynt, and Hacken have partnered with the Bermuda Monetary Authority (BMA) to complete the Embedded Supervision Solution, an initiative designed to demonstrate the direct embedding of regulatory requirements into digital asset infrastructure, allowing for real-time administrative enforcement. Each firm was responsible for a different enforcement function: Bluprynt’s Know Your Issuer authenticated the legal identity and token contract of the issuer; Chainlink provided on-chain enforcement infrastructure; Apex Group acted as an independent fund administrator; and Hacken's Extractor platform provided real-time on-chain monitoring. The Extractor platform recorded a detection latency of 250-500 milliseconds from transaction inclusion to alert propagation within the initiative. The solution was deployed on Ethereum’s Sepolia and Base Sepolia testnets, operating across two integrated tracks. Track one was identity and compliance policy enforcement, with track two being Proof of Reserve enforcement and asset surveillance. The collaborators say that the completion of the initiative is intended to aid the industry in transitioning compliance from “manual, post-hoc processes to automated enforcement built directly into financial infrastructure.” Non-compliant transactions were blocked prior to the finalization of execution, including situations where issuer credentials were absent or reserve thresholds were not met. The BMA says the collaboration is indicative of its commitment to “advancing the institutional adoption and development of digital assets,” building on previous work with Chainlink and Apex Group on institutional-grade stablecoin infrastructure in Bermuda. Speaking on the initiative, Ishan Vishnoi, vice president, banking and capital markets, product and operations, Chainlink Labs, says: “We are excited to support the successful completion of the Embedded Supervision Solution with the Bermuda Monetary Authority, which demonstrates a new model for real-time, regulatory-friendly digital asset compliance.” Bluprynt CEO and founder, Chris Brummer, comments: “The BMA pilot proved something the industry has been theorizing about for years: compliance doesn't have to be a reporting layer bolted on after the fact — it can be an infrastructure property enforced at the point of execution.” Yev Broshevan, CEO of Hacken, adds: “What we demonstrated here is that security and regulatory oversight are not separate workstreams: when you build surveillance at the infrastructure layer, compliance becomes continuous, tamper-resistant, and machine-speed.” Juan Andres Dudier Mendoza, product head, digital asset stablecoin at Apex Group, remarks: “By acting as a trusted, independent administrator, Apex Group enabled reliable information to be brought on-chain through Proof of Reserve, delivering auditability, transparency, and a critical foundation for embedded supervision.”</w:t>
      </w:r>
      <w:r/>
    </w:p>
    <w:p>
      <w:pPr>
        <w:pStyle w:val="ListNumber"/>
        <w:spacing w:line="240" w:lineRule="auto"/>
        <w:ind w:left="720"/>
      </w:pPr>
      <w:r/>
      <w:hyperlink r:id="rId11">
        <w:r>
          <w:rPr>
            <w:color w:val="0000EE"/>
            <w:u w:val="single"/>
          </w:rPr>
          <w:t>https://www.prnewswire.com/news-releases/chainlink-apex-group-bluprynt--hacken-partner-with-the-bermuda-monetary-authority-completing-key-embedded-supervision-solution-to-accelerate-digital-asset-compliance-302764119.html</w:t>
        </w:r>
      </w:hyperlink>
      <w:r>
        <w:t xml:space="preserve"> - Chainlink, Apex Group, Bluprynt, and Hacken have completed the Embedded Supervision Solution with the Bermuda Monetary Authority, using LINK Proof of Reserve and ACE to enforce real-time on-chain compliance for digital assets. Hacken's Extractor platform provided real-time on-chain monitoring, anomaly detection, risk scoring, and dashboard-driven alerting, with detection latency of 250–500 milliseconds from transaction inclusion to alert propagation. The Embedded Supervision solution directly addressed six supervisory challenges identified by the BMA: The absence of a central authority in DeFi systems; The need for effective AML and KYC frameworks under pseudonymity; The complexity and fast pace of DeFi innovation; The jurisdictional uncertainty of global digital asset flows; The need for real-time tools to keep pace with evolving platforms; The need to assess decentralization in protocol governance. Deployed on Ethereum's Sepolia and Base Sepolia testnets, the solution operated across two integrated tracks. Track 1 — Identity and Compliance Policy Enforcement — combined Bluprynt's KYI credential issuance with Chainlink ACE's transaction-time policy evaluation and Hacken's credential behavior monitoring. Track 2 — Proof of Reserve Enforcement and Asset Surveillance — combined Apex Group's independently validated reserve data with Chainlink's Proof of Reserve Secure Mint contracts and Hacken's real-time analytics for solvency and asset flow monitoring. The initiative also demonstrated deterministic enforcement in practice. Non-compliant transactions were blocked before execution finalized, including cases where issuer credentials were absent or reserve thresholds were not met. Cross-chain compliance continuity was preserved through Chainlink CCIP, showing how policy enforcement can remain intact across blockchain environments. The Embedded Supervision Solution reflects the BMA's continued commitment to advancing the institutional adoption and development of digital assets. It builds on the BMA's previous work with Chainlink and Apex Group on institutional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feeds.com/bermuda-pilot-embeds-digital-asset-compliance-directly-into-blockchain-infrastructure/" TargetMode="External"/><Relationship Id="rId10" Type="http://schemas.openxmlformats.org/officeDocument/2006/relationships/hyperlink" Target="https://chainlinktoday.com/chainlink-apex-group-bluprynt-hacken-partner-with-bermuda-monetary-authority-to-accelerate-digital-asset-compliance/" TargetMode="External"/><Relationship Id="rId11" Type="http://schemas.openxmlformats.org/officeDocument/2006/relationships/hyperlink" Target="https://www.prnewswire.com/news-releases/chainlink-apex-group-bluprynt--hacken-partner-with-the-bermuda-monetary-authority-completing-key-embedded-supervision-solution-to-accelerate-digital-asset-compliance-302764119.html" TargetMode="External"/><Relationship Id="rId12" Type="http://schemas.openxmlformats.org/officeDocument/2006/relationships/hyperlink" Target="https://www.digitalassetsedge.com/digitalassetsedgenews/custodyandadministrationarticle.php?article_id=2287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