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Best Prediction Markets for APAC Brokers: Match‑Trader’s New White‑Label Play</w:t>
      </w:r>
      <w:r/>
    </w:p>
    <w:p>
      <w:r/>
      <w:r/>
    </w:p>
    <w:p>
      <w:r>
        <w:drawing>
          <wp:inline xmlns:a="http://schemas.openxmlformats.org/drawingml/2006/main" xmlns:pic="http://schemas.openxmlformats.org/drawingml/2006/picture">
            <wp:extent cx="5080000" cy="3408101"/>
            <wp:docPr id="1" name="Picture 1"/>
            <wp:cNvGraphicFramePr>
              <a:graphicFrameLocks noChangeAspect="1"/>
            </wp:cNvGraphicFramePr>
            <a:graphic>
              <a:graphicData uri="http://schemas.openxmlformats.org/drawingml/2006/picture">
                <pic:pic>
                  <pic:nvPicPr>
                    <pic:cNvPr id="0" name="image.jpg"/>
                    <pic:cNvPicPr/>
                  </pic:nvPicPr>
                  <pic:blipFill>
                    <a:blip r:embed="rId8"/>
                    <a:stretch>
                      <a:fillRect/>
                    </a:stretch>
                  </pic:blipFill>
                  <pic:spPr>
                    <a:xfrm>
                      <a:off x="0" y="0"/>
                      <a:ext cx="5080000" cy="3408101"/>
                    </a:xfrm>
                    <a:prstGeom prst="rect"/>
                  </pic:spPr>
                </pic:pic>
              </a:graphicData>
            </a:graphic>
          </wp:inline>
        </w:drawing>
      </w:r>
    </w:p>
    <w:p>
      <w:r/>
      <w:r>
        <w:rPr>
          <w:b/>
        </w:rPr>
        <w:t>Shoppers of trading tech are watching Match‑Trade Technologies as it brings broker‑ready Prediction Markets to the FM Singapore Summit, promising a simple, mobile‑first way for APAC brokers, prop firms and institutions to diversify products and boost client engagement.</w:t>
      </w:r>
      <w:r/>
    </w:p>
    <w:p>
      <w:r/>
      <w:r>
        <w:t>Essential Takeaways</w:t>
      </w:r>
      <w:r/>
      <w:r/>
    </w:p>
    <w:p>
      <w:pPr>
        <w:pStyle w:val="ListBullet"/>
        <w:spacing w:line="240" w:lineRule="auto"/>
        <w:ind w:left="720"/>
      </w:pPr>
      <w:r/>
      <w:r>
        <w:rPr>
          <w:b/>
        </w:rPr>
        <w:t>Product launch:</w:t>
      </w:r>
      <w:r>
        <w:t xml:space="preserve"> Match‑Trader is unveiling a white‑label Prediction Markets module that can sit inside Match‑Trader or run standalone. It looks clean and mobile‑first. </w:t>
      </w:r>
      <w:r/>
    </w:p>
    <w:p>
      <w:pPr>
        <w:pStyle w:val="ListBullet"/>
        <w:spacing w:line="240" w:lineRule="auto"/>
        <w:ind w:left="720"/>
      </w:pPr>
      <w:r/>
      <w:r>
        <w:rPr>
          <w:b/>
        </w:rPr>
        <w:t>Simple UX:</w:t>
      </w:r>
      <w:r>
        <w:t xml:space="preserve"> Outcomes are yes/no, one‑click execution, live P&amp;L and automated settlement , winners close at 1, losers at 0. </w:t>
      </w:r>
      <w:r/>
    </w:p>
    <w:p>
      <w:pPr>
        <w:pStyle w:val="ListBullet"/>
        <w:spacing w:line="240" w:lineRule="auto"/>
        <w:ind w:left="720"/>
      </w:pPr>
      <w:r/>
      <w:r>
        <w:rPr>
          <w:b/>
        </w:rPr>
        <w:t>Hybrid stack:</w:t>
      </w:r>
      <w:r>
        <w:t xml:space="preserve"> Brokers can run Prediction Markets alongside FX and prop trading within one ecosystem, broadening revenue and acquisition channels. </w:t>
      </w:r>
      <w:r/>
    </w:p>
    <w:p>
      <w:pPr>
        <w:pStyle w:val="ListBullet"/>
        <w:spacing w:line="240" w:lineRule="auto"/>
        <w:ind w:left="720"/>
      </w:pPr>
      <w:r/>
      <w:r>
        <w:rPr>
          <w:b/>
        </w:rPr>
        <w:t>Platform upgrades:</w:t>
      </w:r>
      <w:r>
        <w:t xml:space="preserve"> Match‑Trader also rolled out a rebuilt charting suite and an extended Prop CRM–MetaTrader 5 integration for challenge‑based prop programmes. </w:t>
      </w:r>
      <w:r/>
    </w:p>
    <w:p>
      <w:pPr>
        <w:pStyle w:val="ListBullet"/>
        <w:spacing w:line="240" w:lineRule="auto"/>
        <w:ind w:left="720"/>
      </w:pPr>
      <w:r/>
      <w:r>
        <w:rPr>
          <w:b/>
        </w:rPr>
        <w:t>Where to see it:</w:t>
      </w:r>
      <w:r>
        <w:t xml:space="preserve"> Live demos at FM Singapore Summit, booth 19, with meetings available for interested firms.</w:t>
      </w:r>
      <w:r/>
      <w:r/>
    </w:p>
    <w:p>
      <w:pPr>
        <w:pStyle w:val="Heading2"/>
      </w:pPr>
      <w:r>
        <w:t>Why Prediction Markets are suddenly on brokers’ radars</w:t>
      </w:r>
      <w:r/>
    </w:p>
    <w:p>
      <w:r/>
      <w:r>
        <w:t>Prediction Markets put event outcomes, sport, politics, crypto, macro, into straightforward yes/no markets, and Match‑Trader’s take looks intentionally tactile: crisp probabilities, live price charts and a mobile interface that feels light and immediate. Traders get a sensory nudge, simple choices, instant feedback, and brokers get a new way to engage audiences who don’t live in FX order books. Industry chatter suggests event‑based markets are gaining attention across verticals, and brokers facing intense competition in APAC want products that attract fresh attention without reengineering core systems.</w:t>
      </w:r>
      <w:r/>
    </w:p>
    <w:p>
      <w:pPr>
        <w:pStyle w:val="Heading2"/>
      </w:pPr>
      <w:r>
        <w:t>What Match‑Trader is offering and how it fits into existing stacks</w:t>
      </w:r>
      <w:r/>
    </w:p>
    <w:p>
      <w:r/>
      <w:r>
        <w:t>Match‑Trade has packaged Prediction Markets as a white‑label module or a built‑into‑Match‑Trader option, so firms can choose a quick standalone launch or a tighter integration. That flexibility matters because some firms want a turnkey consumer product, while others prefer a native module that sits alongside FX and prop trading. The hybrid architecture is the headline: running event markets, FX and prop desks in one ecosystem reduces the friction of supporting multiple vendors and gives compliance, risk and fees a single control point.</w:t>
      </w:r>
      <w:r/>
    </w:p>
    <w:p>
      <w:pPr>
        <w:pStyle w:val="Heading2"/>
      </w:pPr>
      <w:r>
        <w:t>The trader experience: simple, live and automated</w:t>
      </w:r>
      <w:r/>
    </w:p>
    <w:p>
      <w:r/>
      <w:r>
        <w:t>From a user’s point of view Match‑Trader’s approach is deliberately pared back, yes/no outcomes, one‑click execution and live P&amp;L monitoring. Settlement is automated on event resolution, with winners paid out at 1 and losers at 0, which removes manual settlement headaches for brokers and keeps the UX snappy for traders. For firms, that means fewer operational touchpoints and a predictable flow for margining and fee capture; for traders, it’s fast, readable and mobile ready.</w:t>
      </w:r>
      <w:r/>
    </w:p>
    <w:p>
      <w:pPr>
        <w:pStyle w:val="Heading2"/>
      </w:pPr>
      <w:r>
        <w:t>Commercial reasons brokers might add Prediction Markets</w:t>
      </w:r>
      <w:r/>
    </w:p>
    <w:p>
      <w:r/>
      <w:r>
        <w:t>APAC brokers are under pressure to differentiate and scale faster, and Prediction Markets offer a clear value proposition: new product lines, incremental fees and a way to reach customers who might not trade FX. Match‑Trader positions the module as an acquisition channel as much as a revenue stream. Operationally, keeping fees and risk settings in broker hands means firms can experiment with promotions, spreads or market categories without handing control to a third party, useful for testing what sticks in different markets.</w:t>
      </w:r>
      <w:r/>
    </w:p>
    <w:p>
      <w:pPr>
        <w:pStyle w:val="Heading2"/>
      </w:pPr>
      <w:r>
        <w:t>Platform upgrades that strengthen the pitch</w:t>
      </w:r>
      <w:r/>
    </w:p>
    <w:p>
      <w:r/>
      <w:r>
        <w:t>Alongside Prediction Markets, Match‑Trader has rebuilt its charting suite with expanded drawing tools, pattern recognition and precision measurement; it’s the kind of upgrade traders notice when they need richer on‑screen analysis. It also extended a Prop CRM–MetaTrader 5 integration to support challenge‑based prop programmes on MT5 execution, which helps prop firms keep challenge lifecycles and affiliate tracking inside one CRM. Taken together, the upgrades make Match‑Trader feel less like a collection of add‑ons and more like a single environment that can support startups and established brokers alike.</w:t>
      </w:r>
      <w:r/>
    </w:p>
    <w:p>
      <w:pPr>
        <w:pStyle w:val="Heading2"/>
      </w:pPr>
      <w:r>
        <w:t>What to watch at FM Singapore Summit</w:t>
      </w:r>
      <w:r/>
    </w:p>
    <w:p>
      <w:r/>
      <w:r>
        <w:t>Match‑Trader will demo the Prediction Markets module at booth 19 during the FM Singapore Summit, with staff available for meetings. Brokers and prop firms that visit can see live functionality, ask about white‑label options and discuss go‑to‑market strategies for different APAC jurisdictions. If you’re shopping for differentiation, it’s worth a look: a new product that’s easy to deploy and sits inside an existing tech stack can be a quiet way to stand out.</w:t>
      </w:r>
      <w:r/>
    </w:p>
    <w:p>
      <w:r/>
      <w:r>
        <w:t>It's a small product shift that could open new doors for brokers looking to diversify and attract fresh audiences.</w:t>
      </w:r>
      <w:r/>
    </w:p>
    <w:p>
      <w:pPr>
        <w:pStyle w:val="Heading3"/>
      </w:pPr>
      <w:r>
        <w:t>Source Reference Map</w:t>
      </w:r>
      <w:r/>
    </w:p>
    <w:p>
      <w:r/>
      <w:r>
        <w:rPr>
          <w:b/>
        </w:rPr>
        <w:t>Story idea inspired by:</w:t>
      </w:r>
      <w:r>
        <w:t xml:space="preserve"> </w:t>
      </w:r>
      <w:hyperlink r:id="rId9">
        <w:r>
          <w:rPr>
            <w:color w:val="0000EE"/>
            <w:u w:val="single"/>
          </w:rPr>
          <w:t>[1]</w:t>
        </w:r>
      </w:hyperlink>
      <w:r/>
    </w:p>
    <w:p>
      <w:r/>
      <w:r>
        <w:rPr>
          <w:b/>
        </w:rPr>
        <w:t>Sources by paragraph:</w:t>
      </w:r>
      <w:r>
        <w:t xml:space="preserve">- Paragraph 1: </w:t>
      </w:r>
      <w:hyperlink r:id="rId9">
        <w:r>
          <w:rPr>
            <w:color w:val="0000EE"/>
            <w:u w:val="single"/>
          </w:rPr>
          <w:t>[2]</w:t>
        </w:r>
      </w:hyperlink>
      <w:r>
        <w:t xml:space="preserve">, </w:t>
      </w:r>
      <w:hyperlink r:id="rId10">
        <w:r>
          <w:rPr>
            <w:color w:val="0000EE"/>
            <w:u w:val="single"/>
          </w:rPr>
          <w:t>[4]</w:t>
        </w:r>
      </w:hyperlink>
      <w:r>
        <w:t xml:space="preserve">- Paragraph 2: </w:t>
      </w:r>
      <w:hyperlink r:id="rId9">
        <w:r>
          <w:rPr>
            <w:color w:val="0000EE"/>
            <w:u w:val="single"/>
          </w:rPr>
          <w:t>[2]</w:t>
        </w:r>
      </w:hyperlink>
      <w:r>
        <w:t xml:space="preserve">, </w:t>
      </w:r>
      <w:hyperlink r:id="rId11">
        <w:r>
          <w:rPr>
            <w:color w:val="0000EE"/>
            <w:u w:val="single"/>
          </w:rPr>
          <w:t>[5]</w:t>
        </w:r>
      </w:hyperlink>
      <w:r>
        <w:t xml:space="preserve">- Paragraph 3: </w:t>
      </w:r>
      <w:hyperlink r:id="rId9">
        <w:r>
          <w:rPr>
            <w:color w:val="0000EE"/>
            <w:u w:val="single"/>
          </w:rPr>
          <w:t>[2]</w:t>
        </w:r>
      </w:hyperlink>
      <w:r>
        <w:t xml:space="preserve">, </w:t>
      </w:r>
      <w:hyperlink r:id="rId10">
        <w:r>
          <w:rPr>
            <w:color w:val="0000EE"/>
            <w:u w:val="single"/>
          </w:rPr>
          <w:t>[4]</w:t>
        </w:r>
      </w:hyperlink>
      <w:r>
        <w:t xml:space="preserve">- Paragraph 4: </w:t>
      </w:r>
      <w:hyperlink r:id="rId9">
        <w:r>
          <w:rPr>
            <w:color w:val="0000EE"/>
            <w:u w:val="single"/>
          </w:rPr>
          <w:t>[2]</w:t>
        </w:r>
      </w:hyperlink>
      <w:r>
        <w:t xml:space="preserve">, </w:t>
      </w:r>
      <w:hyperlink r:id="rId12">
        <w:r>
          <w:rPr>
            <w:color w:val="0000EE"/>
            <w:u w:val="single"/>
          </w:rPr>
          <w:t>[3]</w:t>
        </w:r>
      </w:hyperlink>
      <w:r>
        <w:t xml:space="preserve">- Paragraph 5: </w:t>
      </w:r>
      <w:hyperlink r:id="rId9">
        <w:r>
          <w:rPr>
            <w:color w:val="0000EE"/>
            <w:u w:val="single"/>
          </w:rPr>
          <w:t>[2]</w:t>
        </w:r>
      </w:hyperlink>
      <w:r>
        <w:t xml:space="preserve">, </w:t>
      </w:r>
      <w:hyperlink r:id="rId11">
        <w:r>
          <w:rPr>
            <w:color w:val="0000EE"/>
            <w:u w:val="single"/>
          </w:rPr>
          <w:t>[5]</w:t>
        </w:r>
      </w:hyperlink>
      <w:r>
        <w:t xml:space="preserve">- Paragraph 6: </w:t>
      </w:r>
      <w:hyperlink r:id="rId9">
        <w:r>
          <w:rPr>
            <w:color w:val="0000EE"/>
            <w:u w:val="single"/>
          </w:rPr>
          <w:t>[2]</w:t>
        </w:r>
      </w:hyperlink>
      <w:r>
        <w:t xml:space="preserve">, </w:t>
      </w:r>
      <w:hyperlink r:id="rId13">
        <w:r>
          <w:rPr>
            <w:color w:val="0000EE"/>
            <w:u w:val="single"/>
          </w:rPr>
          <w:t>[6]</w:t>
        </w:r>
      </w:hyperlink>
      <w:r/>
    </w:p>
    <w:p>
      <w:pPr>
        <w:pStyle w:val="Heading2"/>
      </w:pPr>
      <w:r>
        <w:t>Bibliography</w:t>
      </w:r>
      <w:r/>
      <w:r/>
    </w:p>
    <w:p>
      <w:pPr>
        <w:pStyle w:val="ListNumber"/>
        <w:numPr>
          <w:ilvl w:val="0"/>
          <w:numId w:val="14"/>
        </w:numPr>
        <w:spacing w:line="240" w:lineRule="auto"/>
        <w:ind w:left="720"/>
      </w:pPr>
      <w:r/>
      <w:hyperlink r:id="rId9">
        <w:r>
          <w:rPr>
            <w:color w:val="0000EE"/>
            <w:u w:val="single"/>
          </w:rPr>
          <w:t>https://www.financemagnates.com/thought-leadership/matchtrader-to-introduce-prediction-markets-to-apac-brokers-at-fm-singapore-summit/</w:t>
        </w:r>
      </w:hyperlink>
      <w:r>
        <w:t xml:space="preserve"> - Please view link - unable to able to access data</w:t>
      </w:r>
      <w:r/>
    </w:p>
    <w:p>
      <w:pPr>
        <w:pStyle w:val="ListNumber"/>
        <w:spacing w:line="240" w:lineRule="auto"/>
        <w:ind w:left="720"/>
      </w:pPr>
      <w:r/>
      <w:hyperlink r:id="rId9">
        <w:r>
          <w:rPr>
            <w:color w:val="0000EE"/>
            <w:u w:val="single"/>
          </w:rPr>
          <w:t>https://www.financemagnates.com/thought-leadership/matchtrader-to-introduce-prediction-markets-to-apac-brokers-at-fm-singapore-summit/</w:t>
        </w:r>
      </w:hyperlink>
      <w:r>
        <w:t xml:space="preserve"> - Match-Trade Technologies, the company behind the Match-Trader trading platform, will be attending the FM Singapore Summit on 12–14 May 2026 to showcase how brokers, prop firms, and financial institutions across APAC can diversify their offering and open up growth opportunities through its latest product launch: Prediction Markets. The newly introduced, broker-ready solution is positioned as a timely response to increased attention around event-based markets across finance, crypto, politics, sports, entertainment, and more. It can be deployed either as a dedicated module within Match-Trader or as a standalone white-label product, enabling different go-to-market strategies depending on brand and distribution needs. Built as an end-to-end stack, Match-Trader Prediction Markets groups events by category and presents outcomes in a clear format supported by real-time probability and price charting. Traders can monitor positions with live P&amp;L and settlement is fully automated on event resolution – winning positions close at 1, losing positions at 0, with no manual intervention required. The user experience remains intentionally simple with yes/no decisions, one-click execution, and a mobile-first interface, while brokers retain direct control over fees and risk parameters. What sets Match-Trader apart is its hybrid architecture. Brokers can run Prediction Markets, FX trading, and prop trading within a single ecosystem, not only broadening the product offering and diversifying revenue but also using event-driven markets as a new engagement and acquisition channel that attracts audiences beyond traditional traders. "APAC brokers are under real competitive pressure to differentiate and grow faster than ever before. Match-Trader gives them a genuine edge – whether they’re launching FX operations from scratch, scaling prop businesses, or now adding Prediction Markets. It’s one platform that can grow with them at every stage," said Qi Xue, Institutional Sales (APAC) at Match-Trade Technologies. While Prediction Markets will define Match-Trader’s presence at the summit, the team will also use the occasion to present two recent enhancements to the platform: a rebuilt Match-Trader charting suite with expanded drawing tools, pattern recognition, and precision measurement features; and a newly extended Prop CRM–MetaTrader 5 integration that supports challenge-based prop trading programs on MT5 execution and keeps every aspect of the entire prop operation – from challenge lifecycle to affiliate tracking – consolidated inside one CRM. Match-Trader with its all-new upgrades will be available for live demos throughout the FM Singapore Summit. Visit booth 19 to see Prediction Markets in action and explore how the Match-Trader multi-asset trading platform can help strengthen and scale businesses ranging from startups to established firms. Book a meeting with Match-Trader experts. About Match-Trade Technologies Founded in 2013, Match-Trade Technologies is a global provider of trading technology for forex brokers, prop trading firms, and financial institutions. Its flagship Match-Trader platform supports flexible deployment models, including a standalone platform, back-end technology for proprietary front ends, and add-on environments for brokers offering FX and prop trading services. Match-Trade delivers end-to-end brokerage infrastructure, including white-label trading technology, server licence, prediction markets, CRM, and client office tools, liquidity and market data connectivity, and a broad ecosystem of external integrations for firms ranging from startups to established brokers.</w:t>
      </w:r>
      <w:r/>
    </w:p>
    <w:p>
      <w:pPr>
        <w:pStyle w:val="ListNumber"/>
        <w:spacing w:line="240" w:lineRule="auto"/>
        <w:ind w:left="720"/>
      </w:pPr>
      <w:r/>
      <w:hyperlink r:id="rId12">
        <w:r>
          <w:rPr>
            <w:color w:val="0000EE"/>
            <w:u w:val="single"/>
          </w:rPr>
          <w:t>https://match-trade.com/</w:t>
        </w:r>
      </w:hyperlink>
      <w:r>
        <w:t xml:space="preserve"> - Match-Trade Technologies offers clients worldwide access to an in-house technology ecosystem built around their proprietary trading platform, Match-Trader, available as Server and White Label. Their product suite includes Match-Trader Server Licence, Match-Trader White Label platform, Prop Trading Software, Client Office app with Forex CRM, Social Trading – Copy Trading app, Liquidity and Data Feeds, Bridge MT4/MT5 with RMS, and MT4/MT5 Server hosting and support. The company is attending the FM Singapore Summit from 12–14 May 2026, showcasing their latest product launch: Prediction Markets.</w:t>
      </w:r>
      <w:r/>
    </w:p>
    <w:p>
      <w:pPr>
        <w:pStyle w:val="ListNumber"/>
        <w:spacing w:line="240" w:lineRule="auto"/>
        <w:ind w:left="720"/>
      </w:pPr>
      <w:r/>
      <w:hyperlink r:id="rId10">
        <w:r>
          <w:rPr>
            <w:color w:val="0000EE"/>
            <w:u w:val="single"/>
          </w:rPr>
          <w:t>https://www.tradingview.com/news/financemagnates%3Af1d696c7a094b%3A0-match-trader-enters-prediction-markets-with-white-label-offering-for-brokers/</w:t>
        </w:r>
      </w:hyperlink>
      <w:r>
        <w:t xml:space="preserve"> - Match-Trade Technologies has released a prediction markets product for brokers, offering event-based trading as either an add-on module within its Match-Trader platform or a standalone white-label solution. The system groups events by category, shows outcome probabilities updating in real time as positions accumulate, and settles contracts automatically when events resolve, with winning positions closing at a value of 1 and losing positions at zero. Admin users retain control over fee structures and risk parameters directly within the platform, without routing through third-party systems. Prediction markets posted a record single-day trading volume of $701.7 million in January 2026, with Kalshi responsible for roughly two-thirds of that figure, as retail participation in event-based contracts continued to build momentum from a breakout year.</w:t>
      </w:r>
      <w:r/>
    </w:p>
    <w:p>
      <w:pPr>
        <w:pStyle w:val="ListNumber"/>
        <w:spacing w:line="240" w:lineRule="auto"/>
        <w:ind w:left="720"/>
      </w:pPr>
      <w:r/>
      <w:hyperlink r:id="rId11">
        <w:r>
          <w:rPr>
            <w:color w:val="0000EE"/>
            <w:u w:val="single"/>
          </w:rPr>
          <w:t>https://tradeinformer.com/tech-news/match-trader-launches-prediction-markets-for-brokers-and-prop-firms</w:t>
        </w:r>
      </w:hyperlink>
      <w:r>
        <w:t xml:space="preserve"> - Match-Trade Technologies announced on Thursday that it has launched prediction markets on its flagship Match-Trader platform, with access across mobile and desktop. Companies can use the platform to offer prediction markets as a white-labeled standalone product or as part of a wider offering. A firm could theoretically offer FX/CFD trading, prediction markets, and prop trading in a single platform as a result. The new system is built on core technology that has been continuously developed and refined over more than thirteen years of powering their trading platform. That allows brokers – whether current Match-Trader clients, established firms, or startups – to launch prediction markets quickly and cost-effectively without going through long, complex implementation cycles. Traders using the platform get access to one-click trading, instant fills, and portfolio analysis tools. Companies offering prediction markets using Match-Trader also get a range of tools on their backend to manage risk and set fee structures. The prediction markets that Match-Trader gives access to include financials, but also the whole array of other popular contracts that users have been trading on platforms like Kalshi and Polymarket. That includes sports, political events, and pop culture-based contracts, giving brokers access to a broader client base than they may have been accustomed to. Prediction markets have exploded in popularity over the last 18 months, driven primarily by US platforms Polymarket and Kalshi. Most large CFD brokers with a US presence are in the process of adding the products. London-listed broker Plus500 has already launched them for its American customers.</w:t>
      </w:r>
      <w:r/>
    </w:p>
    <w:p>
      <w:pPr>
        <w:pStyle w:val="ListNumber"/>
        <w:spacing w:line="240" w:lineRule="auto"/>
        <w:ind w:left="720"/>
      </w:pPr>
      <w:r/>
      <w:hyperlink r:id="rId13">
        <w:r>
          <w:rPr>
            <w:color w:val="0000EE"/>
            <w:u w:val="single"/>
          </w:rPr>
          <w:t>https://ffnews.com/event_listing/fm-singapore-summit-2026/</w:t>
        </w:r>
      </w:hyperlink>
      <w:r>
        <w:t xml:space="preserve"> - The FM Singapore Summit 2026 is a premier B2B event for the financial services industry, taking place in Singapore from 12–14 May 2026. The summit brings together senior professionals from fintech, online trading, banking, payments, and technology sectors across the Asia-Pacific region. The event attracts brokers, fintech firms, banks, payment providers, and technology companies, providing an ideal environment for networking, knowledge-sharing, and</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jpg"/><Relationship Id="rId9" Type="http://schemas.openxmlformats.org/officeDocument/2006/relationships/hyperlink" Target="https://www.financemagnates.com/thought-leadership/matchtrader-to-introduce-prediction-markets-to-apac-brokers-at-fm-singapore-summit/" TargetMode="External"/><Relationship Id="rId10" Type="http://schemas.openxmlformats.org/officeDocument/2006/relationships/hyperlink" Target="https://www.tradingview.com/news/financemagnates%3Af1d696c7a094b%3A0-match-trader-enters-prediction-markets-with-white-label-offering-for-brokers/" TargetMode="External"/><Relationship Id="rId11" Type="http://schemas.openxmlformats.org/officeDocument/2006/relationships/hyperlink" Target="https://tradeinformer.com/tech-news/match-trader-launches-prediction-markets-for-brokers-and-prop-firms" TargetMode="External"/><Relationship Id="rId12" Type="http://schemas.openxmlformats.org/officeDocument/2006/relationships/hyperlink" Target="https://match-trade.com/" TargetMode="External"/><Relationship Id="rId13" Type="http://schemas.openxmlformats.org/officeDocument/2006/relationships/hyperlink" Target="https://ffnews.com/event_listing/fm-singapore-summit-202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