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 Rowe Price argues AI heralds end of easy compounding and rise of active management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savers alike are noticing a market shift as AI reshapes where growth and profits actually happen; investors in the US and beyond should watch the move from asset‑light tech winners to heavy‑capex suppliers, and consider why active, diversified managers may be better placed to capture the change.</w:t>
      </w:r>
      <w:r/>
    </w:p>
    <w:p>
      <w:r/>
      <w:r>
        <w:t>Essential takeaways</w:t>
      </w:r>
      <w:r/>
      <w:r/>
    </w:p>
    <w:p>
      <w:pPr>
        <w:pStyle w:val="ListBullet"/>
        <w:spacing w:line="240" w:lineRule="auto"/>
        <w:ind w:left="720"/>
      </w:pPr>
      <w:r/>
      <w:r>
        <w:rPr>
          <w:b/>
        </w:rPr>
        <w:t>Concentration is easing:</w:t>
      </w:r>
      <w:r>
        <w:t xml:space="preserve"> The top tech names that dominated indices are being forced into heavy spending, reducing their free cash flow and clustering risk.</w:t>
      </w:r>
      <w:r/>
    </w:p>
    <w:p>
      <w:pPr>
        <w:pStyle w:val="ListBullet"/>
        <w:spacing w:line="240" w:lineRule="auto"/>
        <w:ind w:left="720"/>
      </w:pPr>
      <w:r/>
      <w:r>
        <w:rPr>
          <w:b/>
        </w:rPr>
        <w:t>Capex surge:</w:t>
      </w:r>
      <w:r>
        <w:t xml:space="preserve"> Hyperscalers raised large debt and are investing billions in power, data centres and chips, changing who's generating value.</w:t>
      </w:r>
      <w:r/>
    </w:p>
    <w:p>
      <w:pPr>
        <w:pStyle w:val="ListBullet"/>
        <w:spacing w:line="240" w:lineRule="auto"/>
        <w:ind w:left="720"/>
      </w:pPr>
      <w:r/>
      <w:r>
        <w:rPr>
          <w:b/>
        </w:rPr>
        <w:t>From digital to physical:</w:t>
      </w:r>
      <w:r>
        <w:t xml:space="preserve"> Value is migrating toward memory, power, construction and industrial suppliers , sectors under‑represented in benchmarks.</w:t>
      </w:r>
      <w:r/>
    </w:p>
    <w:p>
      <w:pPr>
        <w:pStyle w:val="ListBullet"/>
        <w:spacing w:line="240" w:lineRule="auto"/>
        <w:ind w:left="720"/>
      </w:pPr>
      <w:r/>
      <w:r>
        <w:rPr>
          <w:b/>
        </w:rPr>
        <w:t>Active opportunity:</w:t>
      </w:r>
      <w:r>
        <w:t xml:space="preserve"> Periods of higher dispersion historically favour skilled, conviction‑driven active managers over passive index tracking.</w:t>
      </w:r>
      <w:r/>
    </w:p>
    <w:p>
      <w:pPr>
        <w:pStyle w:val="ListBullet"/>
        <w:spacing w:line="240" w:lineRule="auto"/>
        <w:ind w:left="720"/>
      </w:pPr>
      <w:r/>
      <w:r>
        <w:rPr>
          <w:b/>
        </w:rPr>
        <w:t>Watch the risks:</w:t>
      </w:r>
      <w:r>
        <w:t xml:space="preserve"> Timing, execution, fiscal responses and regulatory backlash could slow or reverse the rotation.</w:t>
      </w:r>
      <w:r/>
      <w:r/>
    </w:p>
    <w:p>
      <w:pPr>
        <w:pStyle w:val="Heading2"/>
      </w:pPr>
      <w:r>
        <w:t>The tidy decade that’s starting to fray</w:t>
      </w:r>
      <w:r/>
    </w:p>
    <w:p>
      <w:r/>
      <w:r>
        <w:t>For fifteen years a handful of asset‑light tech firms delivered seemingly effortless compounding: sleek margins, rising cash flow, and outsized weight in global indices. That era rewarded passive strategies that simply leaned into the winners. But the rise of generative AI has changed the playbook; what smelled like inevitability now comes with a loud, physical bill , and a different texture to the profits. Industry reporting shows hyperscalers are boosting infrastructure spending sharply, and that has a tangible, noisy feel to it: more cranes, power lines and factory floors.</w:t>
      </w:r>
      <w:r/>
    </w:p>
    <w:p>
      <w:pPr>
        <w:pStyle w:val="Heading2"/>
      </w:pPr>
      <w:r>
        <w:t>Why AI is turning software winners into spenders</w:t>
      </w:r>
      <w:r/>
    </w:p>
    <w:p>
      <w:r/>
      <w:r>
        <w:t>Generative AI isn’t just software anymore , it's a capital race. CEOs across the largest platforms have said they can’t stop investing or risk permanently losing competitiveness. Recent reporting notes the hyperscalers raised significant bond financing to fund that capex, and capital intensity is compressing free cash flow for once‑cash‑rich firms. That changes the fundamental story investors bought into: frictionless compounding gives way to a multi‑year build‑out with uncertain payback.</w:t>
      </w:r>
      <w:r/>
    </w:p>
    <w:p>
      <w:pPr>
        <w:pStyle w:val="Heading2"/>
      </w:pPr>
      <w:r>
        <w:t>The new winners live in the supply chain</w:t>
      </w:r>
      <w:r/>
    </w:p>
    <w:p>
      <w:r/>
      <w:r>
        <w:t>When constraints are physical , power, chips, data‑centre capacity, specialised memory , the economic prize shifts to suppliers. Data‑centre growth, semiconductor factories, and grid upgrades are the plumbing that will capture value as AI scales. World Economic Forum and sector analyses point to data centres and related infrastructure as a fresh growth engine, and that suggests companies making transformers, semiconductors, cooling systems and construction services could be the unsung beneficiaries. For investors that means looking beyond headline tech to industrials and materials that still trade at low index weights.</w:t>
      </w:r>
      <w:r/>
    </w:p>
    <w:p>
      <w:pPr>
        <w:pStyle w:val="Heading2"/>
      </w:pPr>
      <w:r>
        <w:t>Why active managers might have the edge now</w:t>
      </w:r>
      <w:r/>
    </w:p>
    <w:p>
      <w:r/>
      <w:r>
        <w:t>Historically, active managers have outperformed in regimes of high dispersion and falling concentration. The rotation from a narrow group of compounders to a broader, capital‑intensive opportunity set recreates those conditions: more sectors participate, idiosyncratic returns rise, and skillful stock selection matters. Research from asset managers and market practitioners indicates differentiated, conviction‑oriented managers that can allocate outside concentrated benchmarks are well positioned. In short, being different may stop punishing you.</w:t>
      </w:r>
      <w:r/>
    </w:p>
    <w:p>
      <w:pPr>
        <w:pStyle w:val="Heading2"/>
      </w:pPr>
      <w:r>
        <w:t>Practical choices for investors today</w:t>
      </w:r>
      <w:r/>
    </w:p>
    <w:p>
      <w:r/>
      <w:r>
        <w:t>If you're reassessing portfolios, start with scale and patience. Size up exposure to companies that provide the physical inputs for AI , memory makers, power equipment, data‑centre operators and select industrials , but check balance sheets and margins: capex can swamp returns short term. Consider active funds with a track record across cycles, or blend passive core holdings with satellite active positions to capture dispersion without overpaying fees. And don’t ignore macro risks: higher deficits, faster bond moves or regulatory shifts can alter the timetable.</w:t>
      </w:r>
      <w:r/>
    </w:p>
    <w:p>
      <w:r/>
      <w:r>
        <w:t>It's a small change in focus , from digital glamour to industrial backbone , but it could make a big difference to where returns come from.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1">
        <w:r>
          <w:rPr>
            <w:color w:val="0000EE"/>
            <w:u w:val="single"/>
          </w:rPr>
          <w:t>[3]</w:t>
        </w:r>
      </w:hyperlink>
      <w:r>
        <w:t xml:space="preserve">- Paragraph 4: </w:t>
      </w:r>
      <w:hyperlink r:id="rId12">
        <w:r>
          <w:rPr>
            <w:color w:val="0000EE"/>
            <w:u w:val="single"/>
          </w:rPr>
          <w:t>[5]</w:t>
        </w:r>
      </w:hyperlink>
      <w:r>
        <w:t xml:space="preserve">, </w:t>
      </w:r>
      <w:hyperlink r:id="rId14">
        <w:r>
          <w:rPr>
            <w:color w:val="0000EE"/>
            <w:u w:val="single"/>
          </w:rPr>
          <w:t>[7]</w:t>
        </w:r>
      </w:hyperlink>
      <w:r>
        <w:t xml:space="preserve">- Paragraph 5: </w:t>
      </w:r>
      <w:hyperlink r:id="rId15">
        <w:r>
          <w:rPr>
            <w:color w:val="0000EE"/>
            <w:u w:val="single"/>
          </w:rPr>
          <w:t>[6]</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https://fnarena.com/index.php/2026/05/04/the-great-rotation-end-of-easy-compounding/?utm_source=rss&amp;utm_medium=rss&amp;utm_campaign=the-great-rotation-end-of-easy-compounding</w:t>
        </w:r>
      </w:hyperlink>
      <w:r>
        <w:t xml:space="preserve"> - Please view link - unable to able to access data</w:t>
      </w:r>
      <w:r/>
    </w:p>
    <w:p>
      <w:pPr>
        <w:pStyle w:val="ListNumber"/>
        <w:spacing w:line="240" w:lineRule="auto"/>
        <w:ind w:left="720"/>
      </w:pPr>
      <w:r/>
      <w:hyperlink r:id="rId10">
        <w:r>
          <w:rPr>
            <w:color w:val="0000EE"/>
            <w:u w:val="single"/>
          </w:rPr>
          <w:t>https://www.itpro.com/business/business-strategy/big-tech-earnings-hyperscaler-growth-rates-impress-but-concerns-remain-over-surging-infrastructure-capex</w:t>
        </w:r>
      </w:hyperlink>
      <w:r>
        <w:t xml:space="preserve"> - In April 2026, major tech hyperscalers like Alphabet, Amazon, Meta, and Microsoft reported strong revenue growth driven by AI and cloud infrastructure demand. However, analysts expressed concerns over the sustainability of this growth due to escalating capital expenditures aimed at expanding AI infrastructure. For instance, Alphabet's revenue increased by 22% to $109.9 billion, with Google Cloud growing 63% to $20 billion. Despite this, the company raised its 2026 capital expenditure forecast to nearly $190 billion, citing AI demand. Similarly, Amazon Web Services (AWS) saw a 28% revenue jump to $37.6 billion, and Amazon's total capital expenditure for the year could reach $200 billion. Meta's revenue rose 33% to $56.3 billion, but its revised capital expenditure forecast of up to $145 billion raised investor concerns. Microsoft posted $82.9 billion in quarterly revenue, up 18%, with Azure growing 40%. AI accounts for substantial capital investments ($31.9 billion), but Microsoft maintains strong margins and a $37 billion annual run rate for its AI business. Overall, while these companies are experiencing robust growth, the high capital expenditures required for AI infrastructure expansion have led to questions about the long-term sustainability of this growth.</w:t>
      </w:r>
      <w:r/>
    </w:p>
    <w:p>
      <w:pPr>
        <w:pStyle w:val="ListNumber"/>
        <w:spacing w:line="240" w:lineRule="auto"/>
        <w:ind w:left="720"/>
      </w:pPr>
      <w:r/>
      <w:hyperlink r:id="rId11">
        <w:r>
          <w:rPr>
            <w:color w:val="0000EE"/>
            <w:u w:val="single"/>
          </w:rPr>
          <w:t>https://www.techspot.com/news/109794-tech-investments-lift-us-gdp-amid-broader-economic.html</w:t>
        </w:r>
      </w:hyperlink>
      <w:r>
        <w:t xml:space="preserve"> - In 2025, the U.S. economy experienced significant growth driven by a surge in AI-related infrastructure spending. Investment in data centers and information processing technology became a central driver of economic performance, setting new benchmarks and prompting economists to reconsider traditional growth models. Harvard economist Jason Furman noted that excluding technology-related infrastructure spending, annualized GDP growth in the first half of 2025 would have been just 0.1%, highlighting the extraordinary influence of digital infrastructure investment on overall economic performance. The data center boom surpassed U.S. consumer spending as the leading contributor to growth, with investment in information processing equipment and software accounting for 4% of GDP. This trend underscores how deeply artificial intelligence is reshaping the real economy and raises questions about the sustainability of America's new growth model.</w:t>
      </w:r>
      <w:r/>
    </w:p>
    <w:p>
      <w:pPr>
        <w:pStyle w:val="ListNumber"/>
        <w:spacing w:line="240" w:lineRule="auto"/>
        <w:ind w:left="720"/>
      </w:pPr>
      <w:r/>
      <w:hyperlink r:id="rId13">
        <w:r>
          <w:rPr>
            <w:color w:val="0000EE"/>
            <w:u w:val="single"/>
          </w:rPr>
          <w:t>https://www.weforum.org/stories/2025/12/data-centres-and-ai-new-growth-engine/</w:t>
        </w:r>
      </w:hyperlink>
      <w:r>
        <w:t xml:space="preserve"> - The construction of data centres and related artificial intelligence (AI) investment have surged in recent years, becoming significant drivers of business investment and GDP growth, particularly in the United States. Hyperscalers such as Microsoft, Alphabet, and Meta are at the centre of this investment wave, with the U.S. accounting for more than 40% of global data centre capacity. This combination of strong GDP growth and weakening employment growth suggests early productivity improvements from AI adoption. The article highlights the role of data centres in meeting the rapidly increasing worldwide demand for AI services and their impact on economic growth.</w:t>
      </w:r>
      <w:r/>
    </w:p>
    <w:p>
      <w:pPr>
        <w:pStyle w:val="ListNumber"/>
        <w:spacing w:line="240" w:lineRule="auto"/>
        <w:ind w:left="720"/>
      </w:pPr>
      <w:r/>
      <w:hyperlink r:id="rId12">
        <w:r>
          <w:rPr>
            <w:color w:val="0000EE"/>
            <w:u w:val="single"/>
          </w:rPr>
          <w:t>https://www.morganstanley.com/insights/articles/ai-market-trends-institute-2026</w:t>
        </w:r>
      </w:hyperlink>
      <w:r>
        <w:t xml:space="preserve"> - Artificial intelligence (AI) has evolved from a technological theme to a macroeconomic variable influencing GDP, earnings, credit markets, and geopolitics at an industrial scale. Morgan Stanley Research estimates that nearly $3 trillion in AI-related infrastructure investment will flow through the global economy by 2028, with more than 80% of that spending still ahead. This investment is expected to contribute approximately 25% to U.S. GDP growth this year. The article discusses the implications of this AI build-out, including the strategic importance of secure domestic infrastructure and the potential for valuation resets and sector rotation as the world weighs the benefits and disruptions of AI.</w:t>
      </w:r>
      <w:r/>
    </w:p>
    <w:p>
      <w:pPr>
        <w:pStyle w:val="ListNumber"/>
        <w:spacing w:line="240" w:lineRule="auto"/>
        <w:ind w:left="720"/>
      </w:pPr>
      <w:r/>
      <w:hyperlink r:id="rId15">
        <w:r>
          <w:rPr>
            <w:color w:val="0000EE"/>
            <w:u w:val="single"/>
          </w:rPr>
          <w:t>https://www.assetmanagement.hsbc.com.sg/en/institutional-client/news-and-insights/fixed-income-insights-q1-2026</w:t>
        </w:r>
      </w:hyperlink>
      <w:r>
        <w:t xml:space="preserve"> - The AI investment boom is significantly lifting U.S. GDP growth, primarily through large-scale data centre and AI-related capital expenditures. Hyperscalers have revised capital expenditure plans higher, with cumulative data centre and AI-related capex for 2025-2028 now estimated at around $2.5 trillion. This implies an increase in the investment-to-GDP ratio of roughly 1.5-2 percentage points by 2028. The article notes that while this investment surge resembles the late-1990s dotcom boom in scale and duration, the gains remain highly concentrated in the tech sector, with limited spillover to broader non-tech capital spending so far. The capital-intensive nature of the AI build-out generates limited direct job creation and uneven wealth effects, with benefits skewed towards higher-income households via equity markets rather than broad-based labour-market gains.</w:t>
      </w:r>
      <w:r/>
    </w:p>
    <w:p>
      <w:pPr>
        <w:pStyle w:val="ListNumber"/>
        <w:spacing w:line="240" w:lineRule="auto"/>
        <w:ind w:left="720"/>
      </w:pPr>
      <w:r/>
      <w:hyperlink r:id="rId14">
        <w:r>
          <w:rPr>
            <w:color w:val="0000EE"/>
            <w:u w:val="single"/>
          </w:rPr>
          <w:t>https://www.ey.com/en_us/insights/ai/ai-powered-growth</w:t>
        </w:r>
      </w:hyperlink>
      <w:r>
        <w:t xml:space="preserve"> - Optimism around AI adoption has propelled U.S. equity markets to record highs, even amid macroeconomic challenges. Several tech companies now account for over one-third of the total value of the S&amp;P 500, and hyperscalers are investing unprecedented amounts into building out AI infrastructure. The combined capital expenditures by the largest cloud providers more than tripled between 2019 and 2024, reaching $237 billion last year. Capital spending is projected to rise 39% this year and approach $330 billion. The article discusses how AI is fueling record capital investment in the tech sector and its impact on economic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narena.com/index.php/2026/05/04/the-great-rotation-end-of-easy-compounding/?utm_source=rss&amp;utm_medium=rss&amp;utm_campaign=the-great-rotation-end-of-easy-compounding" TargetMode="External"/><Relationship Id="rId10" Type="http://schemas.openxmlformats.org/officeDocument/2006/relationships/hyperlink" Target="https://www.itpro.com/business/business-strategy/big-tech-earnings-hyperscaler-growth-rates-impress-but-concerns-remain-over-surging-infrastructure-capex" TargetMode="External"/><Relationship Id="rId11" Type="http://schemas.openxmlformats.org/officeDocument/2006/relationships/hyperlink" Target="https://www.techspot.com/news/109794-tech-investments-lift-us-gdp-amid-broader-economic.html" TargetMode="External"/><Relationship Id="rId12" Type="http://schemas.openxmlformats.org/officeDocument/2006/relationships/hyperlink" Target="https://www.morganstanley.com/insights/articles/ai-market-trends-institute-2026" TargetMode="External"/><Relationship Id="rId13" Type="http://schemas.openxmlformats.org/officeDocument/2006/relationships/hyperlink" Target="https://www.weforum.org/stories/2025/12/data-centres-and-ai-new-growth-engine/" TargetMode="External"/><Relationship Id="rId14" Type="http://schemas.openxmlformats.org/officeDocument/2006/relationships/hyperlink" Target="https://www.ey.com/en_us/insights/ai/ai-powered-growth" TargetMode="External"/><Relationship Id="rId15" Type="http://schemas.openxmlformats.org/officeDocument/2006/relationships/hyperlink" Target="https://www.assetmanagement.hsbc.com.sg/en/institutional-client/news-and-insights/fixed-income-insights-q1-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