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Regional office shortages intensify as new supply remains scarce ahead of 2028</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Avison Young has warned that the shortage of new speculative office schemes across Britain’s nine largest regional markets is becoming more acute, with completions now expected to run well below long-term norms through to 2028. The firm said annual delivery in Liverpool, Manchester, Birmingham, Bristol, Newcastle, Leeds, Edinburgh, Cardiff and Glasgow is forecast to average 911,000 sq ft a year, roughly 48% below the 10-year annual average of 1.8 million sq ft.</w:t>
      </w:r>
      <w:r/>
    </w:p>
    <w:p>
      <w:r/>
      <w:r>
        <w:t>The agency said the principal constraint is viability, with higher construction and finance costs making both developers and lenders more cautious, even in cities that have traditionally attracted significant regional office investment. In Cardiff and Liverpool, Avison Young said no completions are planned over the next three years, a gap that could further limit choice for occupiers seeking to relocate.</w:t>
      </w:r>
      <w:r/>
    </w:p>
    <w:p>
      <w:r/>
      <w:r>
        <w:t>The scarcity of new space has already helped drive rental growth, while competition for top-quality buildings is intensifying. In a mid-year update, Avison Young said the Big Nine markets recorded their strongest first-half take-up since 2019, with 3.7 million sq ft let, 6% above the 10-year average. Bristol, Manchester and Newcastle all outperformed, while occupiers increasingly turned to out-of-town locations to find larger and more flexible floor plates as city-centre Grade A supply tightened. The report also noted prime rents of £45.50 per sq ft in Birmingham and £49 in Bristol.</w:t>
      </w:r>
      <w:r/>
    </w:p>
    <w:p>
      <w:r/>
      <w:r>
        <w:t>That demand is also reshaping the type of stock coming forward. According to Avison Young, refurbishment is becoming central to market activity, with occupiers increasingly favouring sustainable buildings that support wellbeing and modern working patterns. Research cited by the firm from CoStar found that 2025 saw the lowest level of construction starts in more than 15 years across ten regional markets, while only about 2.5 million sq ft of office space is currently under construction in the Big Nine. Avison Young expects refurbishment to account for 53% of schemes due for completion in 2026, up from 41% in 2025 and 33% in 2024, and it said rental growth should continue across most markets next year.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https://www.propertyweek.com/news/avison-young-reports-regional-office-shortages-intensifying-as-completions-fall</w:t>
        </w:r>
      </w:hyperlink>
      <w:r>
        <w:t xml:space="preserve"> - Please view link - unable to able to access data</w:t>
      </w:r>
      <w:r/>
    </w:p>
    <w:p>
      <w:pPr>
        <w:pStyle w:val="ListNumber"/>
        <w:spacing w:line="240" w:lineRule="auto"/>
        <w:ind w:left="720"/>
      </w:pPr>
      <w:r/>
      <w:hyperlink r:id="rId10">
        <w:r>
          <w:rPr>
            <w:color w:val="0000EE"/>
            <w:u w:val="single"/>
          </w:rPr>
          <w:t>https://www.avisonyoung.co.uk/news-item/-/article/2025/07/24/regional-office-markets-see-strongest-h1-take-up-since-2019</w:t>
        </w:r>
      </w:hyperlink>
      <w:r>
        <w:t xml:space="preserve"> - Avison Young's mid-year data reveals that the UK's Big Nine regional office markets experienced the strongest first half-year take-up since 2019, with 3.7 million sq ft leased, 6% above the 10-year average. Cities like Bristol, Manchester, and Newcastle outperformed, with take-up increasing by 21%, 27%, and 37% respectively. The out-of-town market gained momentum due to limited Grade A space in city centres, leading occupiers to seek larger floor plates outside urban areas. Prime rental growth was noted, with Birmingham and Bristol reaching £45.50 and £49 per sq ft, respectively. Occupiers are increasingly favouring sustainable and well-being-focused developments, such as 3 Chamberlain Square in Birmingham, which attracted global tenants like EY, CBRE, and Forvis Mazars. Paul Broad, Principal and Managing Director at Avison Young, highlighted the transformation in the Big Nine office markets, driven by pent-up demand and a shift towards out-of-town locations offering larger, flexible floor plates. He expressed confidence in sustained demand for future-proofed, sustainable buildings that cater to evolving workforce needs.</w:t>
      </w:r>
      <w:r/>
    </w:p>
    <w:p>
      <w:pPr>
        <w:pStyle w:val="ListNumber"/>
        <w:spacing w:line="240" w:lineRule="auto"/>
        <w:ind w:left="720"/>
      </w:pPr>
      <w:r/>
      <w:hyperlink r:id="rId11">
        <w:r>
          <w:rPr>
            <w:color w:val="0000EE"/>
            <w:u w:val="single"/>
          </w:rPr>
          <w:t>https://www.theaic.co.uk/companydata/regional-reit/announcements/9487858</w:t>
        </w:r>
      </w:hyperlink>
      <w:r>
        <w:t xml:space="preserve"> - Research from CoStar indicates that 2025 recorded the lowest level of construction starts in over 15 years, totalling just 4.9 million sq ft across ten regional markets. Approximately 2.5 million sq ft of office space is currently under construction in the Big Nine regional markets. Avison Young expects refurbishment activity to continue to play a key role in offsetting the shortfall caused by subdued new-build starts. Refurbishments account for 53% of schemes scheduled for completion in 2026, up from 41% in 2025 and 33% in 2024. Rental value growth held up well for the rest of UK office markets in the 12 months ended December 2025, with growth of 3.2%. Avison Young expects rental growth to continue across most markets during 2026. Demand for quality office space has put upward pressure on rents, with growth of 4.8% recorded across the Big Nine regional markets in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week.com/news/avison-young-reports-regional-office-shortages-intensifying-as-completions-fall" TargetMode="External"/><Relationship Id="rId10" Type="http://schemas.openxmlformats.org/officeDocument/2006/relationships/hyperlink" Target="https://www.avisonyoung.co.uk/news-item/-/article/2025/07/24/regional-office-markets-see-strongest-h1-take-up-since-2019" TargetMode="External"/><Relationship Id="rId11" Type="http://schemas.openxmlformats.org/officeDocument/2006/relationships/hyperlink" Target="https://www.theaic.co.uk/companydata/regional-reit/announcements/9487858"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