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build-to-rent investment marks strongest start since 2022, led by operational assets and London deals in early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UK build-to-rent investment has made a brisk start to 2026, with Savills saying first-quarter volumes reached £795 million, the sector’s strongest opening quarter since 2022. Much of that activity was concentrated in operational stock, reflecting investor preference for assets already producing income rather than schemes still on the drawing board.</w:t>
      </w:r>
      <w:r/>
    </w:p>
    <w:p>
      <w:r/>
      <w:r>
        <w:t>According to Savills, operational properties made up 68% of BTR investment in the period, and more than three-fifths of that capital was deployed in London. The consultancy said well-located, income-generating assets continue to attract substantial amounts of money, a pattern that suggests transaction momentum could hold up through the rest of the year.</w:t>
      </w:r>
      <w:r/>
    </w:p>
    <w:p>
      <w:r/>
      <w:r>
        <w:t>One of the standout deals came in Reading, where Pension Insurance Corporation bought Ebb &amp; Flow, a fully operational 598-home scheme, from Lincoln MGT for more than £200 million. The acquisition, which sits within the wider £850 million Station Hill regeneration project, is understood to be one of the largest purchases of a standing build-to-rent asset outside central London and PIC’s biggest investment in the living sector to date.</w:t>
      </w:r>
      <w:r/>
    </w:p>
    <w:p>
      <w:r/>
      <w:r>
        <w:t>The picture is less uniform in the single-family housing segment, where investment started more slowly after a strong finish to 2025. Even so, Savills expects a pickup in the second quarter as several sizeable deals move through legal processes. In a separate assessment, the firm said the UK’s 12 core cities had around 108,000 BTR units in the pipeline at the end of March, up 3% year on year, although the number under construction fell 11% over the same period as completions continued to outpace new starts. Savills blamed planning delays, building safety issues and construction cost inflation for keeping urban multifamily funding subdued.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https://norfolkpropertymanagement.co.uk/a-robust-early-2026-for-build-to-rent/</w:t>
        </w:r>
      </w:hyperlink>
      <w:r>
        <w:t xml:space="preserve"> - Please view link - unable to able to access data</w:t>
      </w:r>
      <w:r/>
    </w:p>
    <w:p>
      <w:pPr>
        <w:pStyle w:val="ListNumber"/>
        <w:spacing w:line="240" w:lineRule="auto"/>
        <w:ind w:left="720"/>
      </w:pPr>
      <w:r/>
      <w:hyperlink r:id="rId13">
        <w:r>
          <w:rPr>
            <w:color w:val="0000EE"/>
            <w:u w:val="single"/>
          </w:rPr>
          <w:t>https://www.pensioncorporation.com/news-insights/press-releases/2026/pic-expands-its-build-to-rent-portfolio-into-reading--with-lates</w:t>
        </w:r>
      </w:hyperlink>
      <w:r>
        <w:t xml:space="preserve"> - Pension Insurance Corporation (PIC) has acquired Ebb &amp; Flow, a fully operational 598-unit Build-to-Rent development in Reading, for over £200 million. This acquisition is one of the largest of an operational Build-to-Rent asset outside central London and the largest investment for PIC in the Living Sector. Ebb &amp; Flow is part of the £850 million Station Hill regeneration project, which includes Grade A offices, leisure, and retail spaces, delivered by Lincoln MGT, a joint venture between Lincoln Property Company and MGT Investment Management.</w:t>
      </w:r>
      <w:r/>
    </w:p>
    <w:p>
      <w:pPr>
        <w:pStyle w:val="ListNumber"/>
        <w:spacing w:line="240" w:lineRule="auto"/>
        <w:ind w:left="720"/>
      </w:pPr>
      <w:r/>
      <w:hyperlink r:id="rId10">
        <w:r>
          <w:rPr>
            <w:color w:val="0000EE"/>
            <w:u w:val="single"/>
          </w:rPr>
          <w:t>https://theintermediary.co.uk/2026/04/btr-investment-hits-795m-in-q1-2026-savills/</w:t>
        </w:r>
      </w:hyperlink>
      <w:r>
        <w:t xml:space="preserve"> - Savills reports that Build-to-Rent (BTR) investment in the UK reached £795 million in Q1 2026, marking the strongest first quarter since 2022. The majority of this activity was driven by investors acquiring operational stock, which accounted for 68% of the investment. Over three-fifths of this investment was concentrated in London. Savills anticipates that deal flow will remain strong as the year progresses, with significant capital targeting well-located, income-producing assets.</w:t>
      </w:r>
      <w:r/>
    </w:p>
    <w:p>
      <w:pPr>
        <w:pStyle w:val="ListNumber"/>
        <w:spacing w:line="240" w:lineRule="auto"/>
        <w:ind w:left="720"/>
      </w:pPr>
      <w:r/>
      <w:hyperlink r:id="rId11">
        <w:r>
          <w:rPr>
            <w:color w:val="0000EE"/>
            <w:u w:val="single"/>
          </w:rPr>
          <w:t>https://www.thesectorscope.com/sectorscope-home-page-news-6/operational-assets-drive-uk-build-to-rent-investment-to-strong-q1</w:t>
        </w:r>
      </w:hyperlink>
      <w:r>
        <w:t xml:space="preserve"> - Savills reports that UK Build-to-Rent (BTR) investment reached £795 million in Q1 2026, the strongest start to the year since 2022. The majority of this activity was driven by acquisitions of operational assets, which accounted for 68% of total investment volumes during the period. London continued to dominate, representing the majority of these transactions. This trend reflects a continued preference among investors for income-producing assets, as market conditions remain more challenging for forward funding and development-led deals.</w:t>
      </w:r>
      <w:r/>
    </w:p>
    <w:p>
      <w:pPr>
        <w:pStyle w:val="ListNumber"/>
        <w:spacing w:line="240" w:lineRule="auto"/>
        <w:ind w:left="720"/>
      </w:pPr>
      <w:r/>
      <w:hyperlink r:id="rId12">
        <w:r>
          <w:rPr>
            <w:color w:val="0000EE"/>
            <w:u w:val="single"/>
          </w:rPr>
          <w:t>https://www.linkedin.com/posts/savills-operational-capital-markets_savills-uk-btr-market-update-q1-2026-activity-7445384596965244928-w1LE</w:t>
        </w:r>
      </w:hyperlink>
      <w:r>
        <w:t xml:space="preserve"> - Savills reports that UK Build-to-Rent (BTR) investment reached £795 million in Q1 2026, marking the strongest first quarter since 2022. 68% of BTR investment in the quarter was into operational assets, underlining the sector’s current focus on stabilised income and scale. Activity was led by London, where over three-fifths of investment was directed. Following a strong 2025, there is ongoing momentum, although higher financing and construction costs continue to weigh on new starts.</w:t>
      </w:r>
      <w:r/>
    </w:p>
    <w:p>
      <w:pPr>
        <w:pStyle w:val="ListNumber"/>
        <w:spacing w:line="240" w:lineRule="auto"/>
        <w:ind w:left="720"/>
      </w:pPr>
      <w:r/>
      <w:hyperlink r:id="rId14">
        <w:r>
          <w:rPr>
            <w:color w:val="0000EE"/>
            <w:u w:val="single"/>
          </w:rPr>
          <w:t>https://www.propertyreporter.co.uk/pic-acquires-598-unit-reading-build-to-rent-scheme-in-200m-plus-deal.html</w:t>
        </w:r>
      </w:hyperlink>
      <w:r>
        <w:t xml:space="preserve"> - Pension Insurance Corporation (PIC) has completed the acquisition of Ebb &amp; Flow, a fully let 598-unit Build-to-Rent development in Reading, in a deal worth more than £200 million. The transaction ranks as one of the largest acquisitions of an operational Build-to-Rent asset outside central London and the biggest Living Sector investment PIC has made to date. The scheme forms part of the £850 million Station Hill regeneration project in Reading, which includes Grade A offices, leisure, and retail space.</w:t>
      </w:r>
      <w:r/>
    </w:p>
    <w:p>
      <w:pPr>
        <w:pStyle w:val="ListNumber"/>
        <w:spacing w:line="240" w:lineRule="auto"/>
        <w:ind w:left="720"/>
      </w:pPr>
      <w:r/>
      <w:hyperlink r:id="rId15">
        <w:r>
          <w:rPr>
            <w:color w:val="0000EE"/>
            <w:u w:val="single"/>
          </w:rPr>
          <w:t>https://www.gowlingwlg.com/en-de/insights-resources/client-work/2026/real-estate-team-advises-lincoln-mgt</w:t>
        </w:r>
      </w:hyperlink>
      <w:r>
        <w:t xml:space="preserve"> - Gowling WLG's Real Estate team advised Lincoln MGT on the sale of Ebb &amp; Flow, a 598-home Build-to-Rent scheme in Reading, to Pension Insurance Corporation (PIC) for more than £200 million. The transaction represents the largest standing Build-to-Rent investment in the UK in the past two years. Ebb &amp; Flow is part of the wider £850 million Station Hill regeneration in Reading town centre and is one of the largest acquisitions of an operational Build-to-Rent asset outside central London.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rfolkpropertymanagement.co.uk/a-robust-early-2026-for-build-to-rent/" TargetMode="External"/><Relationship Id="rId10" Type="http://schemas.openxmlformats.org/officeDocument/2006/relationships/hyperlink" Target="https://theintermediary.co.uk/2026/04/btr-investment-hits-795m-in-q1-2026-savills/" TargetMode="External"/><Relationship Id="rId11" Type="http://schemas.openxmlformats.org/officeDocument/2006/relationships/hyperlink" Target="https://www.thesectorscope.com/sectorscope-home-page-news-6/operational-assets-drive-uk-build-to-rent-investment-to-strong-q1" TargetMode="External"/><Relationship Id="rId12" Type="http://schemas.openxmlformats.org/officeDocument/2006/relationships/hyperlink" Target="https://www.linkedin.com/posts/savills-operational-capital-markets_savills-uk-btr-market-update-q1-2026-activity-7445384596965244928-w1LE" TargetMode="External"/><Relationship Id="rId13" Type="http://schemas.openxmlformats.org/officeDocument/2006/relationships/hyperlink" Target="https://www.pensioncorporation.com/news-insights/press-releases/2026/pic-expands-its-build-to-rent-portfolio-into-reading--with-lates" TargetMode="External"/><Relationship Id="rId14" Type="http://schemas.openxmlformats.org/officeDocument/2006/relationships/hyperlink" Target="https://www.propertyreporter.co.uk/pic-acquires-598-unit-reading-build-to-rent-scheme-in-200m-plus-deal.html" TargetMode="External"/><Relationship Id="rId15" Type="http://schemas.openxmlformats.org/officeDocument/2006/relationships/hyperlink" Target="https://www.gowlingwlg.com/en-de/insights-resources/client-work/2026/real-estate-team-advises-lincoln-mg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