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Architecturally Designed ADU in Eagle Rock Rents for $4,500 Per Month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Catie Marques Teles and Scott Savarie leased a modern, two-bedroom accessory dwelling unit (ADU) in Eagle Rock, Los Angeles, from architects En Jang and Jooyoung Chung. The unit, part of a property featuring a 1923 Spanish bungalow, was listed at $4,500 per month in a competitive rental market where the median rent for similar properties hovers around $3,600 according to Zillow.</w:t>
      </w:r>
    </w:p>
    <w:p>
      <w:r>
        <w:t>The ADU, situated behind the main house, spans 1,000 square feet and was converted from a two-car garage. It was designed to provide a sense of privacy and features custom birch cabinets, polished concrete floors, and high-end appliances, blending indoor and outdoor living spaces. The unit includes floor-to-ceiling aluminum glass doors, a minimalistic bathroom, walk-in closet, and a private patio.</w:t>
      </w:r>
    </w:p>
    <w:p>
      <w:r>
        <w:t>En Jang and Jooyoung Chung, both architects with advanced degrees from SCI-Arc, invested approximately $354,000 in the conversion project, aiming to use the rental to highlight their architectural practice and earn additional income. The ADU showcases modern design with a dramatic angled roofline, effectively utilizing space and ensuring energy efficiency with traditional Korean exterior coatings that store heat.</w:t>
      </w:r>
    </w:p>
    <w:p>
      <w:r>
        <w:t>Teles and Savarie, who had previously lived in San Francisco and Berlin, appreciated the design and storage solutions of the ADU, which made their smaller living space feel more substantial compared to previous homes. The landlords built additional on-site storage for themselves after converting the garage.</w:t>
      </w:r>
    </w:p>
    <w:p>
      <w:r>
        <w:t>The project exemplifies the utilization of state laws that allow the addition of secondary units on residential properties in California; the ADU was created within proximity to public transportation, enabling an exemption from additional parking requirements. The design and location catered to the needs of tenants without compromising aesthetic appeal or functionality, highlighting a successful integration of architectural skill and market demand in the urban landscape of Los Angeles.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