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Land Securities Reports Significant Reduction in Pre-Tax Losses Amid Signs of Market Stabilization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Land Securities Reports Halved Losses and Signs of Market Stabilization</w:t>
      </w:r>
    </w:p>
    <w:p>
      <w:r>
        <w:t>Land Securities, the FTSE 100-listed commercial property giant, reported a significant reduction in annual pre-tax losses, amounting to £341 million for the year ending March 31, 2024, down from £622 million the previous year. The company owns notable properties such as White Rose shopping center in Leeds and The O2 Centre in London.</w:t>
      </w:r>
    </w:p>
    <w:p>
      <w:r>
        <w:t>The company has been affected by the surge in interest rates and the shift to remote working post-COVID-19, which led to a 6% decline in its property portfolio value, now valued at £9.96 billion. However, they noted that around 60% of their portfolio's value stabilized in the second half of the fiscal year.</w:t>
      </w:r>
    </w:p>
    <w:p>
      <w:r>
        <w:t>Land Securities highlighted the potential for future interest rate cuts by the Bank of England, contributing to market stability. Furthermore, the firm's office spaces in London saw varying declines: West End office values fell by 3.6%, while the overall London office space dropped 13.9% initially but moderated to a 4.6% decline in the latter half of the year.</w:t>
      </w:r>
    </w:p>
    <w:p>
      <w:r>
        <w:t>Despite the challenges, the company observed an 18% increase in daily visits to its buildings, indicating a gradual return to office work. Marking a strategic shift, Land Securities recently sold its 21-hotel portfolio for £400 million to focus on strategically advantageous assets. This divestiture is part of a broader effort to optimize their portfolio, impacting earnings by about 4% in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