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Pledges New Housing Developments Within Months of Government Term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Labour Pledges New Housing Developments within Months of Government Term</w:t>
      </w:r>
    </w:p>
    <w:p>
      <w:r>
        <w:t>Angela Rayner, Deputy Leader of the Labour Party, announced that Labour plans to commence building new homes within months if elected. The declaration was made at the UK Real Estate Investment and Infrastructure Forum (UKREiiF) in Leeds.</w:t>
      </w:r>
    </w:p>
    <w:p>
      <w:r>
        <w:t>Rayner, also the Shadow Housing Secretary, stated that Labour would establish an independent task force to select appropriate sites for development. She emphasized creating "towns of the future," with a focus on addressing the current housing crisis in the UK.</w:t>
      </w:r>
    </w:p>
    <w:p>
      <w:r>
        <w:t>Labour proposes a list of development projects within their first year in office, prioritizing speedy construction. These new developments aim to deliver social and affordable homes, guarantee public services such as transport and healthcare, and ensure access to nature.</w:t>
      </w:r>
    </w:p>
    <w:p>
      <w:r>
        <w:t>Significant potential sites for these developments include areas near Nottingham, Stafford, Northampton, the Thames estuary, south Hampshire, and a possible extension to Cambridge.</w:t>
      </w:r>
    </w:p>
    <w:p>
      <w:r>
        <w:t>Rayner highlighted Labour’s commitment to reversing recent changes to the planning system and encouraged building on underutilized "grey belt" land, such as disused car parks and industrial sites.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