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Road Closures for Ongoing Road Realignment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Bristol Road Closures</w:t>
      </w:r>
    </w:p>
    <w:p>
      <w:r>
        <w:t>Starting May 29, 2024, Bristol City Council will close the A38 southbound at Dalby Avenue and Malago Road in Bedminster nightly from 7 pm to 6 am for a week. The closures will resume from June 17 to June 24. These are part of an ongoing two-and-a-half-year project, which began in January 2022 to realign and redesign roads for improved traffic flow and to install a District Heat Network. The project aims to reopen Malago Road and Dalby Avenue to two-way traffic by the end of August 2024.</w:t>
      </w:r>
    </w:p>
    <w:p>
      <w:pPr>
        <w:pStyle w:val="Heading3"/>
      </w:pPr>
      <w:r>
        <w:t>Cardiff Coal Exchange: Endangered Status</w:t>
      </w:r>
    </w:p>
    <w:p>
      <w:r>
        <w:t>Cardiff's historic Coal Exchange building in Cardiff Bay has been listed as one of the UK's most endangered buildings by the Victorian Society. The Grade II-listed structure, dating back to 1888, has faced significant maintenance issues and was partially demolished due to structural concerns. The building's current management is committed to its restoration, aiming for long-term preservation.</w:t>
      </w:r>
    </w:p>
    <w:p>
      <w:pPr>
        <w:pStyle w:val="Heading3"/>
      </w:pPr>
      <w:r>
        <w:t>National Dunking Championship Winner</w:t>
      </w:r>
    </w:p>
    <w:p>
      <w:r>
        <w:t>Simon Girma from North London won the inaugural National Dunking Championship hosted in Soho, London. Competing in a dunk-off, participants submerged biscuits in hot beverages, with Simon prevailing in a tie-breaker round using a Chocolate Hobnob. The event was overseen by McVitie's chief dunking officer, Dr. Helen Pilcher.</w:t>
      </w:r>
    </w:p>
    <w:p>
      <w:pPr>
        <w:pStyle w:val="Heading3"/>
      </w:pPr>
      <w:r>
        <w:t>Tourist Insights on Wales</w:t>
      </w:r>
    </w:p>
    <w:p>
      <w:r>
        <w:t>Visit Wales surveyed over 6,000 people to understand why some chose not to holiday in Wales. Personal circumstances were the most cited reason at 34%, followed by health concerns. Only 2% mentioned the 20mph speed limit as a deterrent. Positive feedback highlighted the country's natural beauty and welcoming atmosphere. The most popular activities were walking and hiking, with Snowdonia noted as a top destination.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