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London's Housing Market Surges: £79 Billion Worth of Homes for Sale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total value of homes for sale in London has risen to £79 billion, a 30% increase from the same time last year, according to property website Zoopla. London property accounts for one-third of the total UK market value. Despite a 9% rise in available homes, price inflation in the capital has decreased by 0.5%.</w:t>
      </w:r>
    </w:p>
    <w:p>
      <w:r>
        <w:t>Recent data show the highest level of homes for sale in Britain in eight years, with an average estate agent listing 31 homes, marking a 20% increase from last year. This uptick in supply, valued at £230 billion nationwide, has been influenced by homeowners returning to the market after delays in 2023 due to high borrowing costs.</w:t>
      </w:r>
    </w:p>
    <w:p>
      <w:r>
        <w:t>Experts anticipate stable house price inflation for 2024, with Zoopla's Richard Donnell noting increased supply and a slight decline in prices over the past year. The Bank of England is also expected to cut interest rates, further influencing the housing market.</w:t>
      </w:r>
    </w:p>
    <w:p>
      <w:r>
        <w:t>In Scotland, Springfield Properties has secured a £6.3 million deal with the Wheatley Group to construct affordable housing, adding to its recent contracts worth £10 million and £15.3 million for similar projects. Despite a decrease in turnover and pre-tax profits due to high interest rates, the company's shares have risen, showing some market recovery signs.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