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Brighton to Transform MacLaren Pavilion into Café and Toilets at The Level Park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Brighton to Open New Pavilion Café and Toilets at The Level</w:t>
      </w:r>
    </w:p>
    <w:p>
      <w:r>
        <w:t>Brighton and Hove City Council announced plans to convert the MacLaren Pavilion at The Level park, Brighton, into a new kiosk café with four toilets. The 1920s pavilion, currently underutilized except for community meetings, will feature three gender-neutral toilets and one disabled access toilet. Fencing will soon be erected around the building, but access to the playground and fountain area will remain open. The refurbishment aims to reduce vandalism and antisocial behavior by focusing foot traffic in a central area. Renovation is set to begin next month and will take about three months. The council is seeking a new tenant for the café, who will also maintain the toilets in exchange for reduced rent.</w:t>
      </w:r>
    </w:p>
    <w:p>
      <w:pPr>
        <w:pStyle w:val="Heading3"/>
      </w:pPr>
      <w:r>
        <w:t>Great Yarmouth East Coast College Announces Major Redevelopment</w:t>
      </w:r>
    </w:p>
    <w:p>
      <w:r>
        <w:t>Plans for the redevelopment of East Coast College’s Great Yarmouth campus have been approved, with construction slated to begin this summer. The new campus will feature a mock hospital ward, digital suites, a student-run hair and beauty salon, gym and sports facilities, a lecture hall, training kitchen, and restaurants. Aimed for completion by September 2026, the project will start with creating a new reception and temporary parking, followed by comprehensive development. The redevelopment is funded by the government’s £1.5bn FE Capital Transformation Fund and executed by contractors Kier. The college aims to minimize disruption during the project.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