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Retailers Push for Reform as Shopper Numbers Decline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UK Retailers Call for Reform Amid Declining Shopper Numbers</w:t>
      </w:r>
    </w:p>
    <w:p>
      <w:r>
        <w:t>Amid a nationwide Cost of Living crisis, UK retailers are urging the government to reform business rates and planning laws to counteract a significant decline in shopper numbers. As of May 2024, shoppers frequenting high streets, shopping centers, and retail parks have decreased by 3.6% compared to previous months.</w:t>
      </w:r>
    </w:p>
    <w:p>
      <w:r>
        <w:t>Helen Dickinson, Chief Executive of the British Retail Consortium (BRC), highlighted the impact of consumer confidence, poor weather, and a shift towards online shopping and remote work. She stated that political parties need to support policies to rejuvenate UK shopping destinations to boost economic growth and consumer spirits.</w:t>
      </w:r>
    </w:p>
    <w:p>
      <w:r>
        <w:t xml:space="preserve">Diane Wehrle from Rendle Intelligence emphasized that reduced numbers are due to a structural shift away from physical shops and households cutting back on spending amid rising costs of essentials like food and energy. </w:t>
      </w:r>
    </w:p>
    <w:p>
      <w:pPr>
        <w:pStyle w:val="Heading3"/>
      </w:pPr>
      <w:r>
        <w:t>Australia to Reduce Student Debt Amid Rising HECS-HELP Indexation</w:t>
      </w:r>
    </w:p>
    <w:p>
      <w:r>
        <w:t>Starting June 1, 2023, the Australian government will enforce a 4.7% indexation increase on HECS-HELP debt impacting nearly three million students. This follows a decade-high inflation rate of 7.1% in 2023. However, the government has announced a $3 billion measure to reduce HECS debt indexation, providing an average credit of $1,200 per student. The new legislation proposes recalculating indexation based on the lower figure between the Wage-Price Index (WPI) and Consumer Price Index (CPI).</w:t>
      </w:r>
    </w:p>
    <w:p>
      <w:r>
        <w:t>Minister for Education Jason Clare confirmed that this measure will be backdated to June 2023, aiming to relieve financial pressures on students.</w:t>
      </w:r>
    </w:p>
    <w:p>
      <w:pPr>
        <w:pStyle w:val="Heading3"/>
      </w:pPr>
      <w:r>
        <w:t>UK House Prices See Uptick After Months of Decline</w:t>
      </w:r>
    </w:p>
    <w:p>
      <w:r>
        <w:t>In May 2024, the average UK house price rose by 0.4%, rebounding from a 0.4% drop in April, as reported by Nationwide Building Society. The annual growth rate in house prices reached 1.6%, with the average house price increasing to £264,249 from £261,962 in April.</w:t>
      </w:r>
    </w:p>
    <w:p>
      <w:r>
        <w:t>Nationwide’s Chief Economist, Robert Gardner, attributed the recovery to increased consumer confidence driven by rising wages and decreasing inflation, indicating resilience in the housing market despite recent affordability pressures.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