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Stamp duty shake‑up forces a market re‑rating as March completions spike and activity cools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UK’s 2025 stamp duty reforms have precipitated a rapid and dislocating adjustment across the housing market, exposing fault lines between short‑term transactional behaviour and longer‑term supply and demand fundamentals. According to the original report, the package — which raises rates for second homes, narrows first‑time buyer relief and abolishes the “accidental” second homeowner surcharge — was presented by ministers as a simplification and rebalancing of property taxation. At the same time the government is pressing ahead with a large public housing agenda, including a new National Housing Bank that it says will mobilise public and private capital to accelerate delivery. </w:t>
      </w:r>
      <w:r/>
    </w:p>
    <w:p>
      <w:r/>
      <w:r>
        <w:t xml:space="preserve">The most conspicuous consequence was a dramatic bunching of completions in March 2025 as buyers rushed to beat the new rules. HM Revenue &amp; Customs data show seasonally adjusted residential transactions jumped from roughly 109,700 in February to 177,370 in March — a month‑on‑month surge that reflected brought‑forward business as the nil‑rate bands were reduced from 1 April. Market commentators and practitioners have likened the pattern to prior tax‑driven spikes, but emphasise the scale of this episode and the squeeze it created in the short term. </w:t>
      </w:r>
      <w:r/>
    </w:p>
    <w:p>
      <w:r/>
      <w:r>
        <w:t xml:space="preserve">That pre‑deadline rush has been followed by an equally stark cooling. Surveyors reported a sudden collapse in new buyer enquiries in March — RICS recorded a net balance of −32, the weakest since September 2023 — and agreed sales and sales expectations deteriorated as the immediate stimulus from deadline‑driven activity evaporated. Nationwide’s Q2 2025 index underlines the volatility: after the spring flurry quarterly activity cooled and annual price growth softened, reflecting regional divergence and the short‑term impact of tax‑driven transactional distortions. </w:t>
      </w:r>
      <w:r/>
    </w:p>
    <w:p>
      <w:r/>
      <w:r>
        <w:t xml:space="preserve">For investors and developers the effects are mixed and asymmetric. The surge in completed deals provided liquidity for some, but it also pushed up effective transaction costs, compressed margins and left a glut of stock in parts of the market. Developers named in commentary are having to contend with higher inventories and longer sales tails; planning delays and local delivery issues are slowing starts in some high‑cost areas. The lead report highlights particularly acute pressure in London, where a number of boroughs recorded no housing starts in the first quarter of 2025, intensifying debates about capacity to meet stated targets. </w:t>
      </w:r>
      <w:r/>
    </w:p>
    <w:p>
      <w:r/>
      <w:r>
        <w:t xml:space="preserve">Regional divergence is a defining feature of the re‑rating. Northern Ireland and much of the North West have shown relative resilience, with headline price growth and transaction levels outpacing weaker southern markets. Affordability constraints and regulatory pressures are weighing on London and the South East, shifting investor appetites towards regions where underwriting and rental yields look more secure. That north–south split is visible in the official indices and in anecdotal evidence from agents and lenders. </w:t>
      </w:r>
      <w:r/>
    </w:p>
    <w:p>
      <w:r/>
      <w:r>
        <w:t xml:space="preserve">At the same time the construction sector faces persistent supply‑side constraints even as public funding commitments aim to lift delivery. The government’s announcement of a National Housing Bank and a £39 billion Affordable Homes programme is intended to unlock homes at scale, but the Federation of Master Builders has warned of serious skills shortages — around 42% of small building firms reported project delays due to recruitment gaps — that threaten build‑out rates. Meanwhile, the Building Safety Levy, designed to raise funds for defect remediation, remains on the statute books but its implementation has been pushed back to autumn 2026 to give industry and local authorities time to prepare; exemptions and targeted discounts will apply. These policy instruments will shape costs, compliance burdens and the economics of large and small schemes alike. </w:t>
      </w:r>
      <w:r/>
    </w:p>
    <w:p>
      <w:r/>
      <w:r>
        <w:t xml:space="preserve">Other parts of the property ecosystem are also adjusting. Estate agents and mortgage brokers have reported falling instructions and a tighter sales pipeline, while rental markets show fewer available properties in some areas. Mortgage rates, which eased from the peaks seen in 2024, have helped affordability to stabilise and should support eventual recovery in buyer demand — but timing will depend on the pace of Bank of England rate moves and how quickly policy‑induced distortions unwind. </w:t>
      </w:r>
      <w:r/>
    </w:p>
    <w:p>
      <w:r/>
      <w:r>
        <w:t xml:space="preserve">For investors the immediate playbook is pragmatic: those who completed ahead of the March deadline captured a price/time arbitrage that will not be available again, while buyers who missed that window must be more selective. Focusing on regions with stronger labour markets and lower effective transaction costs, watching fiscal signals such as the Autumn Budget and monitoring implementation of levies and delivery vehicles will be crucial. Equally, firms that invest in productivity‑boosting digital tools and in workforce development — and those that prioritise retrofit and sustainability measures — will be better placed as regulatory and financing conditions evolve. </w:t>
      </w:r>
      <w:r/>
    </w:p>
    <w:p>
      <w:r/>
      <w:r>
        <w:t xml:space="preserve">Ultimately the 2025 stamp duty changes have forced a market re‑rating rather than created a clear‑cut market collapse. Short‑term volatility and policy uncertainty dominate headlines, but sizeable public infrastructure and housing commitments, an easing in mortgage costs and regional demand differentials provide a foundation for gradual stabilisation. The next few quarters will test whether delivery bottlenecks and skills shortages can be resolved quickly enough to match the political ambition to build more homes; for investors who combine caution with a long‑term, regionally nuanced strategy the opportunity set remains significant.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rgFBVV95cUxPNk5wcTBXWi1OUGpDaUZrdzdOMmRkSHYyYWhkRXdyUlFNSkZDNEdfSWtsc1h1VXJxakVBVE1jMExEOXBoYUNtc1hORWJHSUZZN2ZlVlFOMW42WXUzVkVkQnBQdnk2cnl6UFZ1NjJFX0J1cjUyTUkyUGw2bG9TT0RmLTZSRngxWElsaFpiVXZQWmNaaDRQblhHMVRiNzM1ZnA1R09uV0gzOGVtc21nR0E?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https://www.gov.uk/government/statistics/monthly-property-transactions-completed-in-the-uk-with-value-40000-or-above</w:t>
        </w:r>
      </w:hyperlink>
      <w:r>
        <w:t xml:space="preserve"> - The HM Revenue &amp; Customs monthly property transactions bulletin reports a pronounced surge in completed housing sales in March 2025 as buyers raced to beat changes to Stamp Duty Land Tax. Seasonally adjusted residential transactions rose from about 109,700 in February to 177,370 in March, reflecting a 62% month‑on‑month increase and a roughly 104% year‑on‑year jump in non‑seasonally adjusted figures. The release explains that from 1 April 2025 nil‑rate bands were reduced, prompting brought‑forward completions. It provides monthly and regional transaction totals, methodology notes and links to underlying datasets for further analysis by market participants and commentary from industry bodies.</w:t>
      </w:r>
      <w:r/>
    </w:p>
    <w:p>
      <w:pPr>
        <w:pStyle w:val="ListNumber"/>
        <w:spacing w:line="240" w:lineRule="auto"/>
        <w:ind w:left="720"/>
      </w:pPr>
      <w:r/>
      <w:hyperlink r:id="rId12">
        <w:r>
          <w:rPr>
            <w:color w:val="0000EE"/>
            <w:u w:val="single"/>
          </w:rPr>
          <w:t>https://www.rics.org/news-insights/uk-house-prices-broadly-flat-amidst-global-and-domestic-uncertainty.html</w:t>
        </w:r>
      </w:hyperlink>
      <w:r>
        <w:t xml:space="preserve"> - The Royal Institution of Chartered Surveyors UK Residential Market Survey for March 2025 documents a marked cooling after a pre‑April rush. New buyer enquiries fell to a net balance of −32, the weakest since September 2023, while agreed sales and sales expectations deteriorated. Surveyors reported an initial surge of completions before the stamp duty changes that then subsided, creating surplus stock and weaker immediate demand. Lettings demand improved, but instructions fell. The bulletin includes regional breakdowns and commentary from members, signalling short‑term volatility and caution among practitioners amid policy change and uncertainty over near‑term activity and prospects for stabilisation thereafter.</w:t>
      </w:r>
      <w:r/>
    </w:p>
    <w:p>
      <w:pPr>
        <w:pStyle w:val="ListNumber"/>
        <w:spacing w:line="240" w:lineRule="auto"/>
        <w:ind w:left="720"/>
      </w:pPr>
      <w:r/>
      <w:hyperlink r:id="rId13">
        <w:r>
          <w:rPr>
            <w:color w:val="0000EE"/>
            <w:u w:val="single"/>
          </w:rPr>
          <w:t>https://www.nationwidehousepriceindex.co.uk/reports/annual-house-price-growth-softens-in-june</w:t>
        </w:r>
      </w:hyperlink>
      <w:r>
        <w:t xml:space="preserve"> - Nationwide’s regional House Price Index for Q2 2025 reported an overall cooling in quarterly growth, recording a seasonally adjusted quarterly change of −0.4% and an annual increase of 2.9%. The report highlighted sharp regional divergence: Northern Ireland remained the strongest nation with near‑double digit annual growth, while London showed markedly weaker performance. The Q2 bulletin provides tables of regional averages, quarterly and annual percentage changes, and commentary on the effect of recent policy adjustments and mortgage affordability. Nationwide’s analysis emphasises the north–south split and notes that short‑term volatility followed tax‑driven transactional distortions earlier in the year and potential stabilisation ahead.</w:t>
      </w:r>
      <w:r/>
    </w:p>
    <w:p>
      <w:pPr>
        <w:pStyle w:val="ListNumber"/>
        <w:spacing w:line="240" w:lineRule="auto"/>
        <w:ind w:left="720"/>
      </w:pPr>
      <w:r/>
      <w:hyperlink r:id="rId10">
        <w:r>
          <w:rPr>
            <w:color w:val="0000EE"/>
            <w:u w:val="single"/>
          </w:rPr>
          <w:t>https://www.gov.uk/government/news/over-500000-homes-to-be-built-through-new-national-housing-bank</w:t>
        </w:r>
      </w:hyperlink>
      <w:r>
        <w:t xml:space="preserve"> - A UK government press release announced the creation of a publicly owned National Housing Bank, backed by £16 billion of new public investment plus existing finance, intended to leverage over £50 billion of private capital and support delivery of more than 500,000 homes. The release also confirmed a £39 billion Affordable Homes programme over ten years and referenced an accompanying 10‑year Infrastructure Strategy pledging at least £725 billion of long‑term funding for economic and social infrastructure. The material outlines objectives, funding mechanics, expected leverage, and the government’s intention to accelerate housebuilding and improve delivery while stressing accountability and project prioritisation.</w:t>
      </w:r>
      <w:r/>
    </w:p>
    <w:p>
      <w:pPr>
        <w:pStyle w:val="ListNumber"/>
        <w:spacing w:line="240" w:lineRule="auto"/>
        <w:ind w:left="720"/>
      </w:pPr>
      <w:r/>
      <w:hyperlink r:id="rId15">
        <w:r>
          <w:rPr>
            <w:color w:val="0000EE"/>
            <w:u w:val="single"/>
          </w:rPr>
          <w:t>https://questions-statements.parliament.uk/written-statements/detail/2025-03-24/hcws546</w:t>
        </w:r>
      </w:hyperlink>
      <w:r>
        <w:t xml:space="preserve"> - Parliamentary written statements and government briefings set out the Building Safety Levy details and implementation timetable. The levy, intended to raise about £3.4 billion from housebuilders to fund remediation of unsafe building defects, will be charged per square metre of qualifying new residential development with rates varying by local authority. The government confirmed a delay in implementation to autumn 2026 to give industry and local authorities time to prepare; exemptions and discounts apply for small developments, affordable housing and brownfield schemes. The statement provides levy rates, statutory timetable and links to the technical consultation response and regulations for sector planning.</w:t>
      </w:r>
      <w:r/>
    </w:p>
    <w:p>
      <w:pPr>
        <w:pStyle w:val="ListNumber"/>
        <w:spacing w:line="240" w:lineRule="auto"/>
        <w:ind w:left="720"/>
      </w:pPr>
      <w:r/>
      <w:hyperlink r:id="rId14">
        <w:r>
          <w:rPr>
            <w:color w:val="0000EE"/>
            <w:u w:val="single"/>
          </w:rPr>
          <w:t>https://www.fmb.org.uk/resource/fmb-calls-for-urgent-action-on-construction-skills-crisis.html</w:t>
        </w:r>
      </w:hyperlink>
      <w:r>
        <w:t xml:space="preserve"> - The Federation of Master Builders State of Trade Survey (Q4 2024) reports significant skills shortages among small building firms, finding that 42% of respondents experienced delayed projects because they could not recruit required trades. The survey highlights shortages of bricklayers, carpenters and general labour, rising material costs, falling workloads and recruitment constraints. FMB commentary warned that the skills gap threatens delivery of the government’s housebuilding ambitions and that more investment in training and apprenticeships is essential. The release provides regional breakdowns, trend data and policy recommendations to tackle recruitment and retention challenges in construction and proposes targeted government interventions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rgFBVV95cUxPNk5wcTBXWi1OUGpDaUZrdzdOMmRkSHYyYWhkRXdyUlFNSkZDNEdfSWtsc1h1VXJxakVBVE1jMExEOXBoYUNtc1hORWJHSUZZN2ZlVlFOMW42WXUzVkVkQnBQdnk2cnl6UFZ1NjJFX0J1cjUyTUkyUGw2bG9TT0RmLTZSRngxWElsaFpiVXZQWmNaaDRQblhHMVRiNzM1ZnA1R09uV0gzOGVtc21nR0E?oc=5&amp;hl=en-US&amp;gl=US&amp;ceid=US:en" TargetMode="External"/><Relationship Id="rId10" Type="http://schemas.openxmlformats.org/officeDocument/2006/relationships/hyperlink" Target="https://www.gov.uk/government/news/over-500000-homes-to-be-built-through-new-national-housing-bank" TargetMode="External"/><Relationship Id="rId11" Type="http://schemas.openxmlformats.org/officeDocument/2006/relationships/hyperlink" Target="https://www.gov.uk/government/statistics/monthly-property-transactions-completed-in-the-uk-with-value-40000-or-above" TargetMode="External"/><Relationship Id="rId12" Type="http://schemas.openxmlformats.org/officeDocument/2006/relationships/hyperlink" Target="https://www.rics.org/news-insights/uk-house-prices-broadly-flat-amidst-global-and-domestic-uncertainty.html" TargetMode="External"/><Relationship Id="rId13" Type="http://schemas.openxmlformats.org/officeDocument/2006/relationships/hyperlink" Target="https://www.nationwidehousepriceindex.co.uk/reports/annual-house-price-growth-softens-in-june" TargetMode="External"/><Relationship Id="rId14" Type="http://schemas.openxmlformats.org/officeDocument/2006/relationships/hyperlink" Target="https://www.fmb.org.uk/resource/fmb-calls-for-urgent-action-on-construction-skills-crisis.html" TargetMode="External"/><Relationship Id="rId15" Type="http://schemas.openxmlformats.org/officeDocument/2006/relationships/hyperlink" Target="https://questions-statements.parliament.uk/written-statements/detail/2025-03-24/hcws5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