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real estate begins cautious recovery as central banks lower interest 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European real estate market is showing signs of revival following a strategic shift by the European Central Bank (ECB) and the Bank of England (BoE) to ease monetary policy through a series of interest rate cuts. This pivot marks a significant departure from the aggressive tightening seen in prior years, reflecting both moderated inflation pressures and a renewed focus on stimulating economic growth. The resulting improvements in mortgage affordability and investor sentiment are fostering a cautious but tangible recovery across diverse regional markets and property sectors.</w:t>
      </w:r>
      <w:r/>
    </w:p>
    <w:p>
      <w:r/>
      <w:r>
        <w:t>The ECB initiated its easing cycle in June 2024, delivering its first interest rate reduction in nearly five years by cutting three key rates by 25 basis points. This lowered the deposit facility rate to 3.75%, a move driven by inflation approaching its 2% target, with April 2024 data showing inflation at 2.4%. Between June 2024 and June 2025, the ECB implemented a sequence of eight cuts, progressively bringing the deposit rate down to 2.00%, before pausing in July 2025 amid stabilizing inflation and rising geopolitical uncertainties. These measures immediately translated into lower mortgage rates and a rebound in Eurozone mortgage demand.</w:t>
      </w:r>
      <w:r/>
    </w:p>
    <w:p>
      <w:r/>
      <w:r>
        <w:t>Similarly, the BoE began easing from a peak base rate of 5.25% in August 2024. Successive reductions brought the base rate down to 4.0% by August 2025, followed by a pause in September 2025 due to inflation still running at 3.8%, well above the UK's 2% target. These cuts substantially lowered short-term fixed mortgage rates, improving affordability and reviving UK property sector activity. Both central banks have emphasised a "data-dependent" and cautious approach given the still fragile inflation outlook and external risks.</w:t>
      </w:r>
      <w:r/>
    </w:p>
    <w:p>
      <w:r/>
      <w:r>
        <w:t>The impact of these rate cuts on European real estate is multifaceted, creating clear divisions between emerging winners and ongoing challenges. Residential real estate benefits most directly, with lower borrowing costs restoring affordability and driving demand. Eurozone house prices returned to 2022 highs by the third quarter of 2024, while UK house price growth estimates for 2025 have been revised upwards by Knight Frank to 3.5%, with longer-term projections as strong as 24.5% over five years. The broader "living sector," including student housing and senior living, remains underpinned by chronic undersupply and robust structural demand, favouring developers and real estate investment trusts (REITs) focused on Build-to-Rent and Purpose-Built Student Accommodation.</w:t>
      </w:r>
      <w:r/>
    </w:p>
    <w:p>
      <w:r/>
      <w:r>
        <w:t>On the regional front, Southern and Eastern Europe are attracting heightened investor interest. Spain is forecast to lead economic growth in 2025 with 2.6%, supported by competitive property prices and rental yields in cities like Valencia, Seville, and Malaga, as well as the Balearic and Canary Islands. Portugal’s prime markets in Lisbon, Porto, and the Algarve continue to pull demand, augmented by high returns in secondary cities. Italy’s recovering housing market is expected to see an 8% rise in transactions in 2025, with hotspots including Rome, Milan, and Tuscany. Poland, benefiting from favourable GDP growth forecasts and EU funds, is drawing residential rental and student housing investment, while Ireland’s property prices have almost doubled over the past decade, promising ongoing growth.</w:t>
      </w:r>
      <w:r/>
    </w:p>
    <w:p>
      <w:r/>
      <w:r>
        <w:t>The logistics and industrial sectors also demonstrate resilience, underpinned by stable investment and prime yields compressing in key hubs such as Madrid and Amsterdam. Listed industrial REITs have rebounded, focusing acquisitions on assets driven by thriving e-commerce and nearshoring trends. Across the Eurozone, industrial property returns are projected to outperform other sectors over 2025-2029, with annual gains around 7%. Crucially, assets meeting stringent environmental, social, and governance (ESG) criteria have shown superior rental and capital value growth, reflecting a market preference for green, sustainable buildings in line with the EU's Energy Performance of Buildings Directive.</w:t>
      </w:r>
      <w:r/>
    </w:p>
    <w:p>
      <w:r/>
      <w:r>
        <w:t>Nevertheless, challenges remain pronounced in certain areas. Germany’s residential market, which suffered an 8.5% price drop in 2023, continues to face a correction phase extending into 2025 despite improved affordability metrics. France and Finland also recorded nominal year-on-year price declines in late 2024. The office sector presents a mixed picture: while prime, ESG-compliant offices supporting hybrid work models experience rental growth, secondary office stock in peripheral locations struggles with declining demand and valuation pressures. Highly leveraged firms acquired during previous low-rate periods face refinancing difficulties, particularly in oversupplied or slower-growth markets. The buy-to-let segment in some countries remains fragile even as mortgage affordability improves for new entrants.</w:t>
      </w:r>
      <w:r/>
    </w:p>
    <w:p>
      <w:r/>
      <w:r>
        <w:t>The broader implications of the ECB and BoE rate cuts extend beyond interest rate dynamics, interfacing significantly with evolving real estate industry trends. ESG compliance, once peripheral, is now a core determinant of asset valuation and investor appeal. Non-compliant properties face costly retrofits or risk market obsolescence, reshaping development priorities. The ongoing shift to remote and hybrid work continues to define commercial real estate demand patterns, with prime offices and data centres positioned for growth, the latter fuelled by increasing digitalisation and AI technologies, particularly in Ireland. Lower financing costs have revived the construction sector, albeit a cautious recovery tempered by persistently high material costs and labour shortages. Additionally, financial services are becoming more supportive with more competitive mortgage products, aiding credit availability and stabilising real estate financing.</w:t>
      </w:r>
      <w:r/>
    </w:p>
    <w:p>
      <w:r/>
      <w:r>
        <w:t>Policy responses beyond monetary easing are pivotal in addressing Europe’s entrenched housing affordability crisis, with the continent facing an estimated shortfall of nearly 9.6 million homes. While rate cuts facilitate credit access, supply constraints risk driving up prices. Governments may introduce targeted incentives for new builds and enforce regulations curbing speculative investment. For instance, the UK is debating renters’ rights legislation, and some countries like Spain contemplate property taxes specifically targeting non-EU buyers, reflecting a balancing act between investment attraction and social equity.</w:t>
      </w:r>
      <w:r/>
    </w:p>
    <w:p>
      <w:r/>
      <w:r>
        <w:t>Comparatively, this rate-cutting cycle contrasts sharply with the sharp tightening from mid-2022 to late 2023, when monetary rates escalated from near zero to 4.5% at the ECB, stalling construction and exerting downward pressure on property prices. Unlike previous low-rate episodes—such as the post-2008 financial crisis and COVID-19 responses—this recovery unfolds amidst stricter ESG mandates and persistent geopolitical uncertainties, pointing to a more measured and complex market evolution.</w:t>
      </w:r>
      <w:r/>
    </w:p>
    <w:p>
      <w:r/>
      <w:r>
        <w:t>Looking ahead, the trajectory for European real estate suggests a gradual recovery through 2025, with residential sector gains driving broader market sentiment. Increased investment activity is anticipated particularly in prime, energy-efficient assets, while older, less sustainable properties may continue to struggle. Cash buyers retain competitive advantages in key markets. Geographically, Spain and Italy stand out for strong growth potential in residential and tourism-linked properties, while Germany’s housing market appears to be stabilising, projected for modest price growth in 2025. The UK market benefits from improved mortgage affordability, underpinning forecast price rises.</w:t>
      </w:r>
      <w:r/>
    </w:p>
    <w:p>
      <w:r/>
      <w:r>
        <w:t>For investors and developers, strategic adaptation is critical. Emphasis on diversified portfolios, integration of ESG principles, and focus on “next-generation, smarter, and greener” facilities will be essential. Developers must concentrate on mitigating Europe’s housing shortages, prioritising medium-quality, smaller properties in non-central locations while navigating high construction costs. Build-to-rent and student accommodation segments remain durable demand pillars. Lenders are positioned for increased competition and product innovation amid their shift to more risk-positive credit stances. For occupiers, commercial tenants may benefit from favourable leasing conditions, but residential renters could face continued upward pressure on rental costs. Policymakers are likely to adopt interventions spanning land-use reforms and construction incentives to complement monetary easing efforts.</w:t>
      </w:r>
      <w:r/>
    </w:p>
    <w:p>
      <w:r/>
      <w:r>
        <w:t>In conclusion, European real estate is awakening from a period of stagnation, buoyed by central bank rate cuts that have reignited mortgage affordability and investment flows. The unfolding recovery is nuanced rather than uniform, marked by a preference for sustainability, demographic-driven residential demand, and selective sectoral strength in logistics and prime offices. Challenges from housing supply deficits, construction inflation, and regulatory complexity remain potent forces shaping market outcomes. Stakeholders must navigate this evolving landscape with patience, strategic foresight, and a commitment to sustainable growth as Europe’s real estate market embarks on a cautious but promising ascent.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https://markets.financialcontent.com/wral/article/marketminute-2025-9-22-european-real-estate-awakens-rate-cuts-ignite-a-cautious-recovery</w:t>
        </w:r>
      </w:hyperlink>
      <w:r>
        <w:t xml:space="preserve"> - Please view link - unable to able to access data</w:t>
      </w:r>
      <w:r/>
    </w:p>
    <w:p>
      <w:pPr>
        <w:pStyle w:val="ListNumber"/>
        <w:spacing w:line="240" w:lineRule="auto"/>
        <w:ind w:left="720"/>
      </w:pPr>
      <w:r/>
      <w:hyperlink r:id="rId10">
        <w:r>
          <w:rPr>
            <w:color w:val="0000EE"/>
            <w:u w:val="single"/>
          </w:rPr>
          <w:t>https://www.ecb.europa.eu/press/pressconf/2024/html/ecb.is240624~f3a3b8b8a0.en.html</w:t>
        </w:r>
      </w:hyperlink>
      <w:r>
        <w:t xml:space="preserve"> - On June 6, 2024, the European Central Bank (ECB) reduced its three key interest rates by 25 basis points, marking its first rate cut in nearly five years. The deposit facility rate was lowered to 3.75%, the main refinancing operations rate to 4.25%, and the marginal lending facility rate to 4.50%. This decision aimed to address inflation nearing the ECB's 2% target, with inflation recorded at 2.4% in April 2024. The ECB emphasized a data-dependent approach to monetary policy, indicating potential future adjustments based on economic developments.</w:t>
      </w:r>
      <w:r/>
    </w:p>
    <w:p>
      <w:pPr>
        <w:pStyle w:val="ListNumber"/>
        <w:spacing w:line="240" w:lineRule="auto"/>
        <w:ind w:left="720"/>
      </w:pPr>
      <w:r/>
      <w:hyperlink r:id="rId11">
        <w:r>
          <w:rPr>
            <w:color w:val="0000EE"/>
            <w:u w:val="single"/>
          </w:rPr>
          <w:t>https://www.bankofengland.co.uk/monetary-policy-summary-and-minutes/2025/february-2025</w:t>
        </w:r>
      </w:hyperlink>
      <w:r>
        <w:t xml:space="preserve"> - In February 2025, the Bank of England (BoE) reduced its base rate by 25 basis points to 4.5%, marking the third rate cut since 2024. This decision was influenced by ongoing concerns over sluggish economic growth and inflation, which had fallen to 2.5% in December 2024. The BoE highlighted the need for a cautious approach to further rate cuts, emphasizing the importance of ensuring inflation remains low and stable. The Monetary Policy Committee expressed a commitment to a data-dependent strategy in determining future monetary policy actions.</w:t>
      </w:r>
      <w:r/>
    </w:p>
    <w:p>
      <w:pPr>
        <w:pStyle w:val="ListNumber"/>
        <w:spacing w:line="240" w:lineRule="auto"/>
        <w:ind w:left="720"/>
      </w:pPr>
      <w:r/>
      <w:hyperlink r:id="rId12">
        <w:r>
          <w:rPr>
            <w:color w:val="0000EE"/>
            <w:u w:val="single"/>
          </w:rPr>
          <w:t>https://www.bankofengland.co.uk/monetary-policy-summary-and-minutes/2025/may-2025</w:t>
        </w:r>
      </w:hyperlink>
      <w:r>
        <w:t xml:space="preserve"> - In May 2025, the Bank of England (BoE) further reduced its base rate by 25 basis points to 4.25%. This decision was influenced by global economic developments, particularly changes in trade tariffs announced by the United States and other trading partners. The BoE noted that these trade policy developments were likely to reduce UK activity and create further risks to the downside. The Committee discussed the potential impacts on UK inflation, acknowledging material risks on both sides of the judgment regarding the effects of these developments.</w:t>
      </w:r>
      <w:r/>
    </w:p>
    <w:p>
      <w:pPr>
        <w:pStyle w:val="ListNumber"/>
        <w:spacing w:line="240" w:lineRule="auto"/>
        <w:ind w:left="720"/>
      </w:pPr>
      <w:r/>
      <w:hyperlink r:id="rId13">
        <w:r>
          <w:rPr>
            <w:color w:val="0000EE"/>
            <w:u w:val="single"/>
          </w:rPr>
          <w:t>https://www.bankofengland.co.uk/monetary-policy-summary-and-minutes/2025/august-2025</w:t>
        </w:r>
      </w:hyperlink>
      <w:r>
        <w:t xml:space="preserve"> - In August 2025, the Bank of England (BoE) reduced its base rate by 25 basis points to 4.0%. This decision was influenced by persistent inflation concerns, with inflation remaining at 3.8% in August, nearly double the BoE's 2% target. The Monetary Policy Committee emphasized the need for a cautious approach to further rate cuts, considering the risks associated with high inflation. The Committee noted that while inflation was expected to decline to target levels, the risks remained, necessitating careful consideration of future monetary policy actions.</w:t>
      </w:r>
      <w:r/>
    </w:p>
    <w:p>
      <w:pPr>
        <w:pStyle w:val="ListNumber"/>
        <w:spacing w:line="240" w:lineRule="auto"/>
        <w:ind w:left="720"/>
      </w:pPr>
      <w:r/>
      <w:hyperlink r:id="rId14">
        <w:r>
          <w:rPr>
            <w:color w:val="0000EE"/>
            <w:u w:val="single"/>
          </w:rPr>
          <w:t>https://www.bankofengland.co.uk/monetary-policy-summary-and-minutes/2025/september-2025</w:t>
        </w:r>
      </w:hyperlink>
      <w:r>
        <w:t xml:space="preserve"> - In September 2025, the Bank of England (BoE) maintained its base rate at 4.0%, reflecting continued concern over persistent inflation, which remained at 3.8% in August, nearly double the BoE's 2% target. The Monetary Policy Committee emphasized the importance of balancing inflation control with economic growth, adopting a data-dependent approach to future rate decisions. The Committee noted that while inflation was expected to decline to target levels, the risks remained, necessitating a cautious approach to further rate cuts.</w:t>
      </w:r>
      <w:r/>
    </w:p>
    <w:p>
      <w:pPr>
        <w:pStyle w:val="ListNumber"/>
        <w:spacing w:line="240" w:lineRule="auto"/>
        <w:ind w:left="720"/>
      </w:pPr>
      <w:r/>
      <w:hyperlink r:id="rId16">
        <w:r>
          <w:rPr>
            <w:color w:val="0000EE"/>
            <w:u w:val="single"/>
          </w:rPr>
          <w:t>https://www.reuters.com/markets/europe/ecb-can-still-frustrate-euro-surge-with-contingency-cut-2025-09-22/</w:t>
        </w:r>
      </w:hyperlink>
      <w:r>
        <w:t xml:space="preserve"> - The European Central Bank (ECB) is considering a 'contingency cut' to prevent the euro from appreciating too rapidly, which could disrupt trade and inflation targets. The euro has strengthened significantly against the U.S. dollar and other currencies, reaching an 11-year high in its real effective exchange rate. ECB officials, including Mario Centeno, have warned of the short-term risks if the euro strengthens too quickly, advocating for policy agility. While the ECB does not target currency levels, significant exchange rate shifts could impact its inflation-targeting framework.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marketminute-2025-9-22-european-real-estate-awakens-rate-cuts-ignite-a-cautious-recovery" TargetMode="External"/><Relationship Id="rId10" Type="http://schemas.openxmlformats.org/officeDocument/2006/relationships/hyperlink" Target="https://www.ecb.europa.eu/press/pressconf/2024/html/ecb.is240624~f3a3b8b8a0.en.html" TargetMode="External"/><Relationship Id="rId11" Type="http://schemas.openxmlformats.org/officeDocument/2006/relationships/hyperlink" Target="https://www.bankofengland.co.uk/monetary-policy-summary-and-minutes/2025/february-2025" TargetMode="External"/><Relationship Id="rId12" Type="http://schemas.openxmlformats.org/officeDocument/2006/relationships/hyperlink" Target="https://www.bankofengland.co.uk/monetary-policy-summary-and-minutes/2025/may-2025" TargetMode="External"/><Relationship Id="rId13" Type="http://schemas.openxmlformats.org/officeDocument/2006/relationships/hyperlink" Target="https://www.bankofengland.co.uk/monetary-policy-summary-and-minutes/2025/august-2025" TargetMode="External"/><Relationship Id="rId14" Type="http://schemas.openxmlformats.org/officeDocument/2006/relationships/hyperlink" Target="https://www.bankofengland.co.uk/monetary-policy-summary-and-minutes/2025/september-2025" TargetMode="External"/><Relationship Id="rId15" Type="http://schemas.openxmlformats.org/officeDocument/2006/relationships/hyperlink" Target="https://www.noahwire.com" TargetMode="External"/><Relationship Id="rId16" Type="http://schemas.openxmlformats.org/officeDocument/2006/relationships/hyperlink" Target="https://www.reuters.com/markets/europe/ecb-can-still-frustrate-euro-surge-with-contingency-cut-2025-09-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