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multifamily market faces slowdown as new supply peaks and demand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multifamily housing market in the United States is experiencing a complex dynamic of robust demand tempered by high supply, resulting in a mixed outlook for rent growth and vacancy rates. While landlords are seeing encouraging signs as the slower leasing season begins, with units being absorbed rapidly, overall vacancy remains elevated at around 9%, constraining rent increases. This moderation in rent growth occurs despite the fact that renters have absorbed more than 100,000 units per quarter recently, a pace that positions 2025 as one of the strongest years for absorption since 2000.</w:t>
      </w:r>
      <w:r/>
    </w:p>
    <w:p>
      <w:r/>
      <w:r>
        <w:t>Analysis from Cushman &amp; Wakefield emphasizes that the surge in supply, with approximately 600,000 new units delivered in 2024—the highest since 1986—is a significant factor behind the elevated vacancies and slowing rent growth. Asking rents were up just 1.5% year-over-year in the third quarter of 2024, down from earlier gains of 2.2%, while other trackers like Apartment List indicate effective rents may have actually declined by 0.8% year-over-year as of September. The slowdown contrasts with earlier projections by CBRE, which anticipated a vacancy rate of 4.9% and rent growth near 2.6% by the end of 2025.</w:t>
      </w:r>
      <w:r/>
    </w:p>
    <w:p>
      <w:r/>
      <w:r>
        <w:t>The supply glut is especially pronounced in Sun Belt markets where apartment vacancies hover at about 11%, holding steady compared to the previous year amid the peak of new construction delivery. However, this vast supply wave has begun to crest, with third-quarter 2024 new deliveries dropping 27% year-over-year, reflecting both a trend of slowing construction and the deterrent of high building costs. Industry experts, including Greystar’s Jordan Kabbani, anticipate that this slowdown in new starts and permits will eventually ease supply pressures, shifting from a market headwind to a tailwind over the next several years.</w:t>
      </w:r>
      <w:r/>
    </w:p>
    <w:p>
      <w:r/>
      <w:r>
        <w:t>Meanwhile, demand remains resilient, buoyed largely by persistent challenges in home affordability and fluctuating mortgage rates. Although mortgage rates have recently fallen to 6.19% on a 30-year fixed loan—down from 6.54% a year earlier—this shift has lured some potential buyers back into the homeownership market, especially younger buyers who delayed purchasing. The National Association of Realtors notes a 4.1% year-over-year increase in home sales in September 2024, with first-time buyers constituting approximately 30% of sales—a rise from 26% the prior year. This re-entry of buyers could temper some rental demand going forward.</w:t>
      </w:r>
      <w:r/>
    </w:p>
    <w:p>
      <w:r/>
      <w:r>
        <w:t>Geographically, rent trends vary considerably. The Bay Area leads rent growth nationally with a 7.8% yearly increase, followed by San Jose, Chicago, and New York City. Conversely, Sun Belt cities such as Austin, Denver, and Phoenix have witnessed rent declines, with Austin reporting a significant drop of over 5%. While national rent growth cooled to 1% in late 2024, marking consecutive quarters of declines, certain markets demonstrate pockets of strength in mid-tier apartments as luxury Class A units face tougher conditions.</w:t>
      </w:r>
      <w:r/>
    </w:p>
    <w:p>
      <w:r/>
      <w:r>
        <w:t>Looking ahead, experts forecast a meaningful decline in new apartment completions after 2025, with annual deliveries falling from over 500,000 in 2024 to roughly 300,000 by 2027—the lowest level in a decade. This planned reduction is expected to alleviate some oversupply issues, leading to tighter vacancy rates and healthier rent growth potentially exceeding 3% annually by 2026. Cushman &amp; Wakefield projects that if demand holds strong and vacancy rates fall below long-term averages, rent increases could surpass 4%.</w:t>
      </w:r>
      <w:r/>
    </w:p>
    <w:p>
      <w:r/>
      <w:r>
        <w:t>Despite current challenges, the multifamily sector maintains a degree of optimism. The slowdown in construction combined with steady absorption rates suggests that the market is on a path towards stabilization and eventual tightening. As Sam Tenenbaum of Cushman &amp; Wakefield states, the industry is “not filling the funnel up as quickly as we’re emptying out the funnel,” highlighting the critical transition underway from an oversupplied market to one poised for recovery.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w:t>
      </w:r>
      <w:r/>
    </w:p>
    <w:p>
      <w:pPr>
        <w:pStyle w:val="ListBullet"/>
        <w:spacing w:line="240" w:lineRule="auto"/>
        <w:ind w:left="720"/>
      </w:pPr>
      <w:r/>
      <w:r>
        <w:t xml:space="preserve">Paragraph 2 – </w:t>
      </w:r>
      <w:hyperlink r:id="rId9">
        <w:r>
          <w:rPr>
            <w:color w:val="0000EE"/>
            <w:u w:val="single"/>
          </w:rPr>
          <w:t>[1]</w:t>
        </w:r>
      </w:hyperlink>
      <w:r>
        <w:t xml:space="preserve"> (Bisnow), </w:t>
      </w:r>
      <w:hyperlink r:id="rId10">
        <w:r>
          <w:rPr>
            <w:color w:val="0000EE"/>
            <w:u w:val="single"/>
          </w:rPr>
          <w:t>[2]</w:t>
        </w:r>
      </w:hyperlink>
      <w:r>
        <w:t xml:space="preserve"> (CREDaily) </w:t>
      </w:r>
      <w:r/>
    </w:p>
    <w:p>
      <w:pPr>
        <w:pStyle w:val="ListBullet"/>
        <w:spacing w:line="240" w:lineRule="auto"/>
        <w:ind w:left="720"/>
      </w:pPr>
      <w:r/>
      <w:r>
        <w:t xml:space="preserve">Paragraph 3 – </w:t>
      </w:r>
      <w:hyperlink r:id="rId9">
        <w:r>
          <w:rPr>
            <w:color w:val="0000EE"/>
            <w:u w:val="single"/>
          </w:rPr>
          <w:t>[1]</w:t>
        </w:r>
      </w:hyperlink>
      <w:r>
        <w:t xml:space="preserve"> (Bisnow), </w:t>
      </w:r>
      <w:hyperlink r:id="rId11">
        <w:r>
          <w:rPr>
            <w:color w:val="0000EE"/>
            <w:u w:val="single"/>
          </w:rPr>
          <w:t>[6]</w:t>
        </w:r>
      </w:hyperlink>
      <w:r>
        <w:t xml:space="preserve"> (CREDaily) </w:t>
      </w:r>
      <w:r/>
    </w:p>
    <w:p>
      <w:pPr>
        <w:pStyle w:val="ListBullet"/>
        <w:spacing w:line="240" w:lineRule="auto"/>
        <w:ind w:left="720"/>
      </w:pPr>
      <w:r/>
      <w:r>
        <w:t xml:space="preserve">Paragraph 4 – </w:t>
      </w:r>
      <w:hyperlink r:id="rId9">
        <w:r>
          <w:rPr>
            <w:color w:val="0000EE"/>
            <w:u w:val="single"/>
          </w:rPr>
          <w:t>[1]</w:t>
        </w:r>
      </w:hyperlink>
      <w:r>
        <w:t xml:space="preserve"> (Bisnow), </w:t>
      </w:r>
      <w:hyperlink r:id="rId12">
        <w:r>
          <w:rPr>
            <w:color w:val="0000EE"/>
            <w:u w:val="single"/>
          </w:rPr>
          <w:t>[3]</w:t>
        </w:r>
      </w:hyperlink>
      <w:r>
        <w:t xml:space="preserve"> (The Guarantors) </w:t>
      </w:r>
      <w:r/>
    </w:p>
    <w:p>
      <w:pPr>
        <w:pStyle w:val="ListBullet"/>
        <w:spacing w:line="240" w:lineRule="auto"/>
        <w:ind w:left="720"/>
      </w:pPr>
      <w:r/>
      <w:r>
        <w:t xml:space="preserve">Paragraph 5 – </w:t>
      </w:r>
      <w:hyperlink r:id="rId9">
        <w:r>
          <w:rPr>
            <w:color w:val="0000EE"/>
            <w:u w:val="single"/>
          </w:rPr>
          <w:t>[1]</w:t>
        </w:r>
      </w:hyperlink>
      <w:r>
        <w:t xml:space="preserve"> (Bisnow), </w:t>
      </w:r>
      <w:hyperlink r:id="rId13">
        <w:r>
          <w:rPr>
            <w:color w:val="0000EE"/>
            <w:u w:val="single"/>
          </w:rPr>
          <w:t>[4]</w:t>
        </w:r>
      </w:hyperlink>
      <w:r>
        <w:t xml:space="preserve"> (CREDaily), </w:t>
      </w:r>
      <w:hyperlink r:id="rId13">
        <w:r>
          <w:rPr>
            <w:color w:val="0000EE"/>
            <w:u w:val="single"/>
          </w:rPr>
          <w:t>[7]</w:t>
        </w:r>
      </w:hyperlink>
      <w:r>
        <w:t xml:space="preserve"> (CREDaily) </w:t>
      </w:r>
      <w:r/>
    </w:p>
    <w:p>
      <w:pPr>
        <w:pStyle w:val="ListBullet"/>
        <w:spacing w:line="240" w:lineRule="auto"/>
        <w:ind w:left="720"/>
      </w:pPr>
      <w:r/>
      <w:r>
        <w:t xml:space="preserve">Paragraph 6 – </w:t>
      </w:r>
      <w:hyperlink r:id="rId9">
        <w:r>
          <w:rPr>
            <w:color w:val="0000EE"/>
            <w:u w:val="single"/>
          </w:rPr>
          <w:t>[1]</w:t>
        </w:r>
      </w:hyperlink>
      <w:r>
        <w:t xml:space="preserve"> (Bisnow), </w:t>
      </w:r>
      <w:hyperlink r:id="rId14">
        <w:r>
          <w:rPr>
            <w:color w:val="0000EE"/>
            <w:u w:val="single"/>
          </w:rPr>
          <w:t>[5]</w:t>
        </w:r>
      </w:hyperlink>
      <w:r>
        <w:t xml:space="preserve"> (Smart Cities Dive) </w:t>
      </w:r>
      <w:r/>
    </w:p>
    <w:p>
      <w:pPr>
        <w:pStyle w:val="ListBullet"/>
        <w:spacing w:line="240" w:lineRule="auto"/>
        <w:ind w:left="720"/>
      </w:pPr>
      <w:r/>
      <w:r>
        <w:t xml:space="preserve">Paragraph 7 – </w:t>
      </w:r>
      <w:hyperlink r:id="rId9">
        <w:r>
          <w:rPr>
            <w:color w:val="0000EE"/>
            <w:u w:val="single"/>
          </w:rPr>
          <w:t>[1]</w:t>
        </w:r>
      </w:hyperlink>
      <w:r>
        <w:t xml:space="preserve"> (Bisnow), </w:t>
      </w:r>
      <w:hyperlink r:id="rId12">
        <w:r>
          <w:rPr>
            <w:color w:val="0000EE"/>
            <w:u w:val="single"/>
          </w:rPr>
          <w:t>[3]</w:t>
        </w:r>
      </w:hyperlink>
      <w:r>
        <w:t xml:space="preserve"> (The Guarantors)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https://www.bisnow.com/national/news/multifamily/supply-backlog-weighs-on-apartment-rents-despite-demand-131526</w:t>
        </w:r>
      </w:hyperlink>
      <w:r>
        <w:t xml:space="preserve"> - Please view link - unable to able to access data</w:t>
      </w:r>
      <w:r/>
    </w:p>
    <w:p>
      <w:pPr>
        <w:pStyle w:val="ListNumber"/>
        <w:spacing w:line="240" w:lineRule="auto"/>
        <w:ind w:left="720"/>
      </w:pPr>
      <w:r/>
      <w:hyperlink r:id="rId10">
        <w:r>
          <w:rPr>
            <w:color w:val="0000EE"/>
            <w:u w:val="single"/>
          </w:rPr>
          <w:t>https://www.credaily.com/briefs/apartment-rent-growth-cools-as-supply-demand-gap-narrows/</w:t>
        </w:r>
      </w:hyperlink>
      <w:r>
        <w:t xml:space="preserve"> - In the fourth quarter of 2024, national multifamily rent growth slowed to 1%, marking the second consecutive quarter of rent declines. This trend is attributed to a surge in new supply outpacing demand. Detroit experienced the highest year-over-year rent growth among major metropolitan areas, with a 3.2% increase. Sun Belt markets, including Austin and Denver, saw some of the steepest rent declines. The narrowing gap between new supply and demand suggests potential market stabilization in 2025. Luxury Class A apartments faced weaker rent growth compared to mid-tier apartments, which outperformed due to stronger demand.</w:t>
      </w:r>
      <w:r/>
    </w:p>
    <w:p>
      <w:pPr>
        <w:pStyle w:val="ListNumber"/>
        <w:spacing w:line="240" w:lineRule="auto"/>
        <w:ind w:left="720"/>
      </w:pPr>
      <w:r/>
      <w:hyperlink r:id="rId12">
        <w:r>
          <w:rPr>
            <w:color w:val="0000EE"/>
            <w:u w:val="single"/>
          </w:rPr>
          <w:t>https://www.theguarantors.com/blog/owners-and-operators/multifamily-supply-surges-as-new-construction-falls-hard</w:t>
        </w:r>
      </w:hyperlink>
      <w:r>
        <w:t xml:space="preserve"> - Analysts predict a sharp decline in multifamily completions after 2025, with annual apartment deliveries expected to fall from over 500,000 units in 2024 to approximately 300,000 by 2027, the lowest level in a decade. This reduction in new construction is anticipated to shift the market from oversupply to undersupply, potentially leading to tighter vacancy rates and increased rent growth in the coming years. The current pullback in construction activity supports the case for initiating new projects now, as they would complete in 2027–2028 when supply is expected to be limited.</w:t>
      </w:r>
      <w:r/>
    </w:p>
    <w:p>
      <w:pPr>
        <w:pStyle w:val="ListNumber"/>
        <w:spacing w:line="240" w:lineRule="auto"/>
        <w:ind w:left="720"/>
      </w:pPr>
      <w:r/>
      <w:hyperlink r:id="rId13">
        <w:r>
          <w:rPr>
            <w:color w:val="0000EE"/>
            <w:u w:val="single"/>
          </w:rPr>
          <w:t>https://www.credaily.com/briefs/us-apartment-investors-keep-building-despite-oversupply/</w:t>
        </w:r>
      </w:hyperlink>
      <w:r>
        <w:t xml:space="preserve"> - Despite a national slump in occupancy rates, which fell to 94.5% in December 2024 due to a high volume of new apartments entering the market, demand for rental units remains resilient. In 2024, approximately 400,000 units were absorbed nationwide, one of the highest absorption rates in recent years. Rent growth, though modest, continued its upward trajectory, with the average multifamily asking rent rising by $3 to $1,746 in January 2025, up 0.8% year-over-year. Markets such as New York City, Philadelphia, Chicago, and Detroit experienced strong rent growth despite the broader cooling of the national market.</w:t>
      </w:r>
      <w:r/>
    </w:p>
    <w:p>
      <w:pPr>
        <w:pStyle w:val="ListNumber"/>
        <w:spacing w:line="240" w:lineRule="auto"/>
        <w:ind w:left="720"/>
      </w:pPr>
      <w:r/>
      <w:hyperlink r:id="rId14">
        <w:r>
          <w:rPr>
            <w:color w:val="0000EE"/>
            <w:u w:val="single"/>
          </w:rPr>
          <w:t>https://www.smartcitiesdive.com/news/apartment-rents-begin-recover-high-supply-metros-Yardi-Matric-multifamily-report/750184/</w:t>
        </w:r>
      </w:hyperlink>
      <w:r>
        <w:t xml:space="preserve"> - In May 2025, the national average multifamily rent rose by $6 from April, reaching $1,761, with year-over-year rent growth holding steady at 1.0%. Among major metropolitan areas, New York City led with a 5.7% year-over-year rent growth, followed by Kansas City, Missouri, at 4.0%. Conversely, Austin, Texas, experienced a decline of 5.2%, with Denver and Phoenix also reporting negative growth. This indicates a recovery in apartment rents in high-supply metro areas, particularly in the Northeast and Midwest regions.</w:t>
      </w:r>
      <w:r/>
    </w:p>
    <w:p>
      <w:pPr>
        <w:pStyle w:val="ListNumber"/>
        <w:spacing w:line="240" w:lineRule="auto"/>
        <w:ind w:left="720"/>
      </w:pPr>
      <w:r/>
      <w:hyperlink r:id="rId11">
        <w:r>
          <w:rPr>
            <w:color w:val="0000EE"/>
            <w:u w:val="single"/>
          </w:rPr>
          <w:t>https://www.credaily.com/newsletters/2024-outlook-cooling-trends-us-multifamily-market/</w:t>
        </w:r>
      </w:hyperlink>
      <w:r>
        <w:t xml:space="preserve"> - The U.S. rental market is cooling, but not uniformly across the country. The Sun Belt is adjusting to excess supply, while the Midwest and Northeast see rising demand. In December 2024, rents declined month-over-month in 83 of the 100 largest cities and year-over-year in 60 of these cities. Oakland, California, led the decline with a 9.3% year-over-year drop. The national vacancy index stood at 6.5%, surpassing pre-pandemic levels, due to the steady release of new apartment constructions, particularly in Sun Belt markets.</w:t>
      </w:r>
      <w:r/>
    </w:p>
    <w:p>
      <w:pPr>
        <w:pStyle w:val="ListNumber"/>
        <w:spacing w:line="240" w:lineRule="auto"/>
        <w:ind w:left="720"/>
      </w:pPr>
      <w:r/>
      <w:hyperlink r:id="rId13">
        <w:r>
          <w:rPr>
            <w:color w:val="0000EE"/>
            <w:u w:val="single"/>
          </w:rPr>
          <w:t>https://www.credaily.com/briefs/us-apartment-investors-keep-building-despite-oversupply/</w:t>
        </w:r>
      </w:hyperlink>
      <w:r>
        <w:t xml:space="preserve"> - Despite a national slump in occupancy rates—falling to 94.5% in December 2024 due to the high volume of new apartments entering the market—demand for rental units remains resilient. In 2024, about 400,000 units were absorbed nationwide, one of the highest absorption rates in recent years. Meanwhile, rent growth, though modest, continued its upward trajectory. In January 2025, the average multifamily asking rent rose by $3 to $1,746, up 0.8% year-over-year. Notably, markets such as New York City, Philadelphia, Chicago, and Detroit saw strong rent growth despite the broader cooling of the national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national/news/multifamily/supply-backlog-weighs-on-apartment-rents-despite-demand-131526" TargetMode="External"/><Relationship Id="rId10" Type="http://schemas.openxmlformats.org/officeDocument/2006/relationships/hyperlink" Target="https://www.credaily.com/briefs/apartment-rent-growth-cools-as-supply-demand-gap-narrows/" TargetMode="External"/><Relationship Id="rId11" Type="http://schemas.openxmlformats.org/officeDocument/2006/relationships/hyperlink" Target="https://www.credaily.com/newsletters/2024-outlook-cooling-trends-us-multifamily-market/" TargetMode="External"/><Relationship Id="rId12" Type="http://schemas.openxmlformats.org/officeDocument/2006/relationships/hyperlink" Target="https://www.theguarantors.com/blog/owners-and-operators/multifamily-supply-surges-as-new-construction-falls-hard" TargetMode="External"/><Relationship Id="rId13" Type="http://schemas.openxmlformats.org/officeDocument/2006/relationships/hyperlink" Target="https://www.credaily.com/briefs/us-apartment-investors-keep-building-despite-oversupply/" TargetMode="External"/><Relationship Id="rId14" Type="http://schemas.openxmlformats.org/officeDocument/2006/relationships/hyperlink" Target="https://www.smartcitiesdive.com/news/apartment-rents-begin-recover-high-supply-metros-Yardi-Matric-multifamily-report/75018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