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Revised deprivation measures reveal alarming child poverty surge in London and beyond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New measures of income deprivation in England have revealed an alarming scale of child poverty, especially when accounting for soaring housing costs in some regions. According to the latest English Indices of Deprivation released in October 2025, nearly 100% of children in 73 neighbourhoods live in income-deprived families, a drastic rise from previous metrics. Previously, no neighbourhood had more than 90% of children living in income deprivation, but with the inclusion of housing costs, this figure has climbed to 280 neighbourhoods, including 73 where at least 99% of children are affected. Notably, 31 of these are in inner London boroughs such as Tower Hamlets, Hackney, Haringey, and Westminster — areas known for their high rents. This reframing of child poverty challenges earlier perceptions that linked extreme deprivation mainly to northern towns, now highlighting severe hardship in the capital as well.</w:t>
      </w:r>
      <w:r/>
    </w:p>
    <w:p>
      <w:r/>
      <w:r>
        <w:t>The indices draw on a wide range of factors beyond income, including employment, education, health, crime, housing barriers, and environment, providing a comprehensive picture of deprivation. The impact of high housing costs dramatically alters the landscape, as seen in Stamford Hill, Hackney, where income deprivation among children has surged from under 9% in 2019 to nearly 100% in 2025. Such neighbourhood-level data expose micro-pockets of concentrated poverty likely exacerbated by welfare policies like the two-child benefit limit and housing benefit caps, alongside the unaffordability of London rents. This new approach carries potential political and financial consequences as it will influence council funding formulas, possibly shifting resources in ways that some northern authorities fear might disadvantage them despite longstanding deprivation there.</w:t>
      </w:r>
      <w:r/>
    </w:p>
    <w:p>
      <w:r/>
      <w:r>
        <w:t>Beyond London and the Midlands, other regions continue to exhibit entrenched deprivation. Blackpool, Middlesbrough, Burnley, Manchester, and Birmingham rank as the most deprived local authority areas. Jaywick in Essex, in Nigel Farage’s former parliamentary constituency, has topped deprivation rankings four consecutive times, emphasising persistent pockets of intense hardship. Coastal towns, often heavily affected by deprivation, show some slight overall improvements since 2019, yet nearly a fifth of their neighbourhoods remain among England’s poorest 10%. Conversely, a few areas have witnessed marked improvements following regeneration efforts—such as Nine Elms in Lambeth, which moved from the bottom 20% of deprived areas to the top 10%, illustrating the potential for transformation.</w:t>
      </w:r>
      <w:r/>
    </w:p>
    <w:p>
      <w:r/>
      <w:r>
        <w:t>Nationally, the issue of low-income families is growing. Government statistics for the financial year ending 2024 indicate that 2.72 million children in the UK, approximately 22%, live in relative low-income families, up from 20% the previous year. The rise is widespread across the UK, with Yorkshire and the Humber reporting the highest rates at 30%, while the South East maintains the lowest proportion at 15%. At a local level, disparities remain stark; for example, Pendle in the North West sees 45% of children in relative low income, while Richmond upon Thames in London reports just 6%. Overall, the total number of children living in poverty in the UK has reached 4.5 million, equating to nearly one in three children, highlighting a growing social challenge. Families with a disabled member and those with three or more children are disproportionately affected, underscoring the multidimensional nature of poverty.</w:t>
      </w:r>
      <w:r/>
    </w:p>
    <w:p>
      <w:r/>
      <w:r>
        <w:t>The government is under growing pressure to address these disparities. Alison McGovern, Minister for Local Government and Homelessness, acknowledged the severity of the new statistics, describing them as “a damning indictment of a system that has left some communities broken.” She pointed to recent initiatives, including a £500 million investment in children’s development and £1 billion in crisis support, as steps designed to begin breaking the cycle of deprivation. However, the persistent high levels of hardship, particularly in left-behind towns and cities in the Midlands and north, suggest that more fundamental reforms will be necessary.</w:t>
      </w:r>
      <w:r/>
    </w:p>
    <w:p>
      <w:r/>
      <w:r>
        <w:t>The revised deprivation indices and their inclusion of housing costs introduce a complex new dynamic to traditional regional understandings of poverty. While they highlight the significant burden of housing expenses in London—long known for affordability issues—they also reinforce that problems of deprivation remain deeply entrenched across England, spanning urban and coastal areas alike. As local authorities await a revised funding formula expected in November, debates about resource allocation and equitable support are set to intensify, making poverty reduction a critical priority for policymakers ahead.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(The Guardian), </w:t>
      </w:r>
      <w:hyperlink r:id="rId10">
        <w:r>
          <w:rPr>
            <w:color w:val="0000EE"/>
            <w:u w:val="single"/>
          </w:rPr>
          <w:t>[5]</w:t>
        </w:r>
      </w:hyperlink>
      <w:r>
        <w:t xml:space="preserve"> (UK Government)</w:t>
      </w:r>
      <w:r/>
    </w:p>
    <w:p>
      <w:pPr>
        <w:pStyle w:val="ListBullet"/>
        <w:spacing w:line="240" w:lineRule="auto"/>
        <w:ind w:left="720"/>
      </w:pPr>
      <w:r/>
      <w:r>
        <w:t xml:space="preserve">Paragraph 2 – </w:t>
      </w:r>
      <w:hyperlink r:id="rId9">
        <w:r>
          <w:rPr>
            <w:color w:val="0000EE"/>
            <w:u w:val="single"/>
          </w:rPr>
          <w:t>[1]</w:t>
        </w:r>
      </w:hyperlink>
      <w:r>
        <w:t xml:space="preserve"> (The Guardian), </w:t>
      </w:r>
      <w:hyperlink r:id="rId10">
        <w:r>
          <w:rPr>
            <w:color w:val="0000EE"/>
            <w:u w:val="single"/>
          </w:rPr>
          <w:t>[5]</w:t>
        </w:r>
      </w:hyperlink>
      <w:r>
        <w:t xml:space="preserve"> (UK Government)</w:t>
      </w:r>
      <w:r/>
    </w:p>
    <w:p>
      <w:pPr>
        <w:pStyle w:val="ListBullet"/>
        <w:spacing w:line="240" w:lineRule="auto"/>
        <w:ind w:left="720"/>
      </w:pPr>
      <w:r/>
      <w:r>
        <w:t xml:space="preserve">Paragraph 3 – </w:t>
      </w:r>
      <w:hyperlink r:id="rId9">
        <w:r>
          <w:rPr>
            <w:color w:val="0000EE"/>
            <w:u w:val="single"/>
          </w:rPr>
          <w:t>[1]</w:t>
        </w:r>
      </w:hyperlink>
      <w:r>
        <w:t xml:space="preserve"> (The Guardian), </w:t>
      </w:r>
      <w:hyperlink r:id="rId10">
        <w:r>
          <w:rPr>
            <w:color w:val="0000EE"/>
            <w:u w:val="single"/>
          </w:rPr>
          <w:t>[5]</w:t>
        </w:r>
      </w:hyperlink>
      <w:r>
        <w:t xml:space="preserve"> (UK Government)</w:t>
      </w:r>
      <w:r/>
    </w:p>
    <w:p>
      <w:pPr>
        <w:pStyle w:val="ListBullet"/>
        <w:spacing w:line="240" w:lineRule="auto"/>
        <w:ind w:left="720"/>
      </w:pPr>
      <w:r/>
      <w:r>
        <w:t xml:space="preserve">Paragraph 4 – </w:t>
      </w:r>
      <w:hyperlink r:id="rId11">
        <w:r>
          <w:rPr>
            <w:color w:val="0000EE"/>
            <w:u w:val="single"/>
          </w:rPr>
          <w:t>[2]</w:t>
        </w:r>
      </w:hyperlink>
      <w:r>
        <w:t xml:space="preserve"> (UK Government), </w:t>
      </w:r>
      <w:hyperlink r:id="rId12">
        <w:r>
          <w:rPr>
            <w:color w:val="0000EE"/>
            <w:u w:val="single"/>
          </w:rPr>
          <w:t>[3]</w:t>
        </w:r>
      </w:hyperlink>
      <w:r>
        <w:t xml:space="preserve"> (UK Government), </w:t>
      </w:r>
      <w:hyperlink r:id="rId13">
        <w:r>
          <w:rPr>
            <w:color w:val="0000EE"/>
            <w:u w:val="single"/>
          </w:rPr>
          <w:t>[4]</w:t>
        </w:r>
      </w:hyperlink>
      <w:r>
        <w:t xml:space="preserve"> (UK Government), </w:t>
      </w:r>
      <w:hyperlink r:id="rId14">
        <w:r>
          <w:rPr>
            <w:color w:val="0000EE"/>
            <w:u w:val="single"/>
          </w:rPr>
          <w:t>[6]</w:t>
        </w:r>
      </w:hyperlink>
      <w:r>
        <w:t xml:space="preserve"> (UK Government), </w:t>
      </w:r>
      <w:hyperlink r:id="rId14">
        <w:r>
          <w:rPr>
            <w:color w:val="0000EE"/>
            <w:u w:val="single"/>
          </w:rPr>
          <w:t>[7]</w:t>
        </w:r>
      </w:hyperlink>
      <w:r>
        <w:t xml:space="preserve"> (UK Government)</w:t>
      </w:r>
      <w:r/>
    </w:p>
    <w:p>
      <w:pPr>
        <w:pStyle w:val="ListBullet"/>
        <w:spacing w:line="240" w:lineRule="auto"/>
        <w:ind w:left="720"/>
      </w:pPr>
      <w:r/>
      <w:r>
        <w:t xml:space="preserve">Paragraph 5 – </w:t>
      </w:r>
      <w:hyperlink r:id="rId9">
        <w:r>
          <w:rPr>
            <w:color w:val="0000EE"/>
            <w:u w:val="single"/>
          </w:rPr>
          <w:t>[1]</w:t>
        </w:r>
      </w:hyperlink>
      <w:r>
        <w:t xml:space="preserve"> (The Guardian)</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https://www.theguardian.com/society/2025/oct/30/almost-all-children-in-73-areas-of-england-live-in-low-income-households</w:t>
        </w:r>
      </w:hyperlink>
      <w:r>
        <w:t xml:space="preserve"> - Please view link - unable to able to access data</w:t>
      </w:r>
      <w:r/>
    </w:p>
    <w:p>
      <w:pPr>
        <w:pStyle w:val="ListNumber"/>
        <w:spacing w:line="240" w:lineRule="auto"/>
        <w:ind w:left="720"/>
      </w:pPr>
      <w:r/>
      <w:hyperlink r:id="rId11">
        <w:r>
          <w:rPr>
            <w:color w:val="0000EE"/>
            <w:u w:val="single"/>
          </w:rPr>
          <w:t>https://www.gov.uk/government/statistics/children-in-low-income-families-local-area-statistics-financial-year-ending-2024</w:t>
        </w:r>
      </w:hyperlink>
      <w:r>
        <w:t xml:space="preserve"> - This official UK government report provides statistics on the number and proportion of children living in low-income families across the United Kingdom for the financial year ending 2024. It highlights that 2.72 million children aged 0 to 15 (22%) were in relative low-income families, and 2.34 million children (19%) were in absolute low-income families. The report also details regional variations, with Yorkshire and the Humber having the highest proportion of children in relative low-income families at 30%, and the South East the lowest at 15%. Additionally, it notes that over the past year, the proportion of children in low-income families has risen across all UK regions, except for Scotland, where the proportion has fallen. At a local level, the proportion of children aged under 16 living in relative low-income families varies greatly, ranging from 6% in Richmond upon Thames (London) to 45% in Pendle (North West).</w:t>
      </w:r>
      <w:r/>
    </w:p>
    <w:p>
      <w:pPr>
        <w:pStyle w:val="ListNumber"/>
        <w:spacing w:line="240" w:lineRule="auto"/>
        <w:ind w:left="720"/>
      </w:pPr>
      <w:r/>
      <w:hyperlink r:id="rId12">
        <w:r>
          <w:rPr>
            <w:color w:val="0000EE"/>
            <w:u w:val="single"/>
          </w:rPr>
          <w:t>https://www.gov.uk/government/statistics/children-in-low-income-families-local-area-statistics-financial-year-ending-2023</w:t>
        </w:r>
      </w:hyperlink>
      <w:r>
        <w:t xml:space="preserve"> - This UK government publication presents statistics on children living in low-income families for the financial year ending 2023. It reports that 2.48 million children aged 0 to 15 (20%) were in relative low-income families, and 1.96 million children (16%) were in absolute low-income families across the United Kingdom. The report highlights significant regional disparities, with Pendle having the highest proportion of children in relative low-income families at 43%, and Richmond upon Thames having the lowest at 5%. It also notes that the proportion of children in low-income families has increased across all UK regions over the past year, except for Scotland, where it has decreased.</w:t>
      </w:r>
      <w:r/>
    </w:p>
    <w:p>
      <w:pPr>
        <w:pStyle w:val="ListNumber"/>
        <w:spacing w:line="240" w:lineRule="auto"/>
        <w:ind w:left="720"/>
      </w:pPr>
      <w:r/>
      <w:hyperlink r:id="rId13">
        <w:r>
          <w:rPr>
            <w:color w:val="0000EE"/>
            <w:u w:val="single"/>
          </w:rPr>
          <w:t>https://www.gov.uk/government/statistics/children-in-low-income-families-local-area-statistics-financial-year-ending-2022</w:t>
        </w:r>
      </w:hyperlink>
      <w:r>
        <w:t xml:space="preserve"> - This official UK government report provides data on children living in low-income families for the financial year ending 2022. It indicates that 2.47 million children aged 0 to 15 (19%) were in relative low-income families, and 1.89 million children (15%) were in absolute low-income families across the United Kingdom. The report highlights regional variations, with Middlesbrough having the highest proportion of children in low-income families at 42%, and City of London having the lowest at 3%. It also notes that the majority of local authorities had a rate of children in low-income families between 10% and 20%.</w:t>
      </w:r>
      <w:r/>
    </w:p>
    <w:p>
      <w:pPr>
        <w:pStyle w:val="ListNumber"/>
        <w:spacing w:line="240" w:lineRule="auto"/>
        <w:ind w:left="720"/>
      </w:pPr>
      <w:r/>
      <w:hyperlink r:id="rId10">
        <w:r>
          <w:rPr>
            <w:color w:val="0000EE"/>
            <w:u w:val="single"/>
          </w:rPr>
          <w:t>https://www.gov.uk/government/statistics/english-indices-of-deprivation-2025</w:t>
        </w:r>
      </w:hyperlink>
      <w:r>
        <w:t xml:space="preserve"> - This UK government announcement details the English Indices of Deprivation 2025, which assess relative levels of deprivation in England. The indices rank neighbourhoods across various aspects of everyday life, including income, employment, education, health, crime, barriers to housing and services, and the environment. The 2025 indices incorporate new measures that account for the impact of high housing costs, particularly in London, providing a more accurate picture of deprivation across the country. The release date for these statistics is confirmed as 30 October 2025.</w:t>
      </w:r>
      <w:r/>
    </w:p>
    <w:p>
      <w:pPr>
        <w:pStyle w:val="ListNumber"/>
        <w:spacing w:line="240" w:lineRule="auto"/>
        <w:ind w:left="720"/>
      </w:pPr>
      <w:r/>
      <w:hyperlink r:id="rId14">
        <w:r>
          <w:rPr>
            <w:color w:val="0000EE"/>
            <w:u w:val="single"/>
          </w:rPr>
          <w:t>https://www.gov.uk/government/statistics/households-below-average-income-for-financial-years-ending-1995-to-2024</w:t>
        </w:r>
      </w:hyperlink>
      <w:r>
        <w:t xml:space="preserve"> - This UK government publication provides data on households below average income for financial years ending 1995 to 2024. It reports that in the year to April 2024, 4.5 million children were in poverty, an increase of 100,000 from the previous year, meaning 31% of children are living in poverty across the UK. The report also highlights that 44% of all children living in poverty are in households where someone is disabled, and 72% of poor children live in working families. Additionally, it notes that 44% of children in families with three or more children are in poverty, far higher than families with one child (21%) or two children (25%).</w:t>
      </w:r>
      <w:r/>
    </w:p>
    <w:p>
      <w:pPr>
        <w:pStyle w:val="ListNumber"/>
        <w:spacing w:line="240" w:lineRule="auto"/>
        <w:ind w:left="720"/>
      </w:pPr>
      <w:r/>
      <w:hyperlink r:id="rId14">
        <w:r>
          <w:rPr>
            <w:color w:val="0000EE"/>
            <w:u w:val="single"/>
          </w:rPr>
          <w:t>https://www.gov.uk/government/statistics/households-below-average-income-for-financial-years-ending-1995-to-2024</w:t>
        </w:r>
      </w:hyperlink>
      <w:r>
        <w:t xml:space="preserve"> - This UK government publication provides data on households below average income for financial years ending 1995 to 2024. It reports that in the year to April 2024, 4.5 million children were in poverty, an increase of 100,000 from the previous year, meaning 31% of children are living in poverty across the UK. The report also highlights that 44% of all children living in poverty are in households where someone is disabled, and 72% of poor children live in working families. Additionally, it notes that 44% of children in families with three or more children are in poverty, far higher than families with one child (21%) or two children (25%).</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society/2025/oct/30/almost-all-children-in-73-areas-of-england-live-in-low-income-households" TargetMode="External"/><Relationship Id="rId10" Type="http://schemas.openxmlformats.org/officeDocument/2006/relationships/hyperlink" Target="https://www.gov.uk/government/statistics/english-indices-of-deprivation-2025" TargetMode="External"/><Relationship Id="rId11" Type="http://schemas.openxmlformats.org/officeDocument/2006/relationships/hyperlink" Target="https://www.gov.uk/government/statistics/children-in-low-income-families-local-area-statistics-financial-year-ending-2024" TargetMode="External"/><Relationship Id="rId12" Type="http://schemas.openxmlformats.org/officeDocument/2006/relationships/hyperlink" Target="https://www.gov.uk/government/statistics/children-in-low-income-families-local-area-statistics-financial-year-ending-2023" TargetMode="External"/><Relationship Id="rId13" Type="http://schemas.openxmlformats.org/officeDocument/2006/relationships/hyperlink" Target="https://www.gov.uk/government/statistics/children-in-low-income-families-local-area-statistics-financial-year-ending-2022" TargetMode="External"/><Relationship Id="rId14" Type="http://schemas.openxmlformats.org/officeDocument/2006/relationships/hyperlink" Target="https://www.gov.uk/government/statistics/households-below-average-income-for-financial-years-ending-1995-to-2024"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