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steady as energy and financial sectors offset mansion tax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opened on a firmer footing this week, exhibiting stability amid emerging discussions surrounding the potential introduction of a UK mansion tax in the forthcoming Budget. This latest fiscal speculation did not disrupt the market’s composure, as the index demonstrated steady momentum, largely underpinned by key players within the Energy, Financial, and Metals &amp; Mining sectors.</w:t>
      </w:r>
      <w:r/>
    </w:p>
    <w:p>
      <w:r/>
      <w:r>
        <w:t>At the forefront of this early trading stability were heavyweight energy companies BP and Shell, whose shares remained relatively steady despite ongoing global fluctuations in crude oil benchmarks. Investors appeared to anchor confidence in these oil and gas giants, closely monitoring their responses to a soft yet balanced global demand environment and ongoing supply adjustments. These developments in the energy market served as a crucial stabilising factor for the broader FTSE 100. The resilience of BP and Shell’s share performance echoed their significant standing within the UK’s energy segment and their ability to navigate macroeconomic uncertainties, including potential domestic fiscal changes such as the mansion tax. Although the tax targets high-value residential properties and is not directed at energy firms, market participants noted the indirect influence such fiscal policies could exert on the broader investment landscape.</w:t>
      </w:r>
      <w:r/>
    </w:p>
    <w:p>
      <w:r/>
      <w:r>
        <w:t>Parallel to the energy sector's endurance, the financial stocks within the FTSE 100, including Prudential and Standard Chartered, also demonstrated cautious optimism. These institutions, with established presences in pan-Asian and emerging markets respectively, supported market calm despite analytical caution around the mansion tax’s implications for lending and property-linked financing. Financial sector equities showed a measured reaction rather than abrupt volatility, helped by consistent liquidity conditions in interbank markets and relatively stable foreign-exchange environments. This helped London’s banking and insurance domains maintain an equanimous performance, reflecting a broader trend of investor steadiness amid fiscal policy deliberations.</w:t>
      </w:r>
      <w:r/>
    </w:p>
    <w:p>
      <w:r/>
      <w:r>
        <w:t>In the Metals and Mining sector, Fresnillo played a pivotal role in preserving market balance, buoyed by steady precious metals valuations in response to moderate global currency movements and hedging strategies. The mining segment's subdued activity coincided with stable industrial forecasts worldwide and limited commodity price fluctuations, which collectively tempered any immediate fiscal policy impacts on operational dynamics or project financing. Fresnillo’s disciplined cost management further reinforced investor confidence in this segment, contributing to the FTSE 100’s overall firmness.</w:t>
      </w:r>
      <w:r/>
    </w:p>
    <w:p>
      <w:r/>
      <w:r>
        <w:t>Central to the market’s underlying tone was the unfolding dialogue on the mansion tax, a proposal gaining traction within government circles as part of broader efforts to rebalance public finances following sustained expenditure. While the tax directly targets the top tier of residential property assets, its reverberations extended into investor sentiment regarding the domestic housing market and ancillary service sectors. Yet, despite this prominent policy narrative, the wider FTSE All Share index remained resilient, suggesting that major listed firms absorbed the potential fiscal shifts with measured equanimity. Market observers noted that corporate earnings and operational data from leading UK companies continued to reflect strength, helping to counterbalance policy-related uncertainties and maintain a cautiously optimistic outlook.</w:t>
      </w:r>
      <w:r/>
    </w:p>
    <w:p>
      <w:r/>
      <w:r>
        <w:t>This phase of market steadiness also coincided with positive international sentiment. Asian markets signalled modest gains, and European bourses mirrored this trend, reflecting a synchronised calmness across global markets. The alignment of sectoral strengths in energy, financial services, and mining underscored the FTSE 100’s diversification advantage, cushioning the index against sector-specific shocks and reinforcing market resilience.</w:t>
      </w:r>
      <w:r/>
    </w:p>
    <w:p>
      <w:r/>
      <w:r>
        <w:t>While the energy and financial sectors contributed stability, it is noteworthy that some FTSE 100 companies maintain relatively low effective corporate tax rates. Analysis indicates that 42 firms paid under 20% tax in their last financial year, with 11 paying below 10%, largely due to their international operations and utilisation of legitimate tax breaks rather than avoidance. Companies such as BP, Shell, and Prudential, which featured prominently in this week’s market performance, are among those with adjusted tax rates below the UK corporate tax threshold. This international diversification not only influences their tax obligations but also supports their operational resilience amid domestic fiscal uncertainties.</w:t>
      </w:r>
      <w:r/>
    </w:p>
    <w:p>
      <w:r/>
      <w:r>
        <w:t>However, the financial sector is not without vulnerabilities. Recent market episodes have demonstrated sensitivity to potential windfall taxes targeting banks, causing periodic selloffs in banking stocks such as Barclays, Standard Chartered, NatWest, HSBC, and Lloyds. Prudential has also faced declines linked to broader financial market concerns. These fluctuations underscore the financial sector’s delicate position amid evolving fiscal and regulatory landscapes.</w:t>
      </w:r>
      <w:r/>
    </w:p>
    <w:p>
      <w:r/>
      <w:r>
        <w:t>Overall, the trading session highlighted a London market characterised by cautious yet consistent confidence. The combined strength of energy companies balancing global crude dynamics, financial entities maintaining liquidity and global diversification, and stable mining operations helped sustain modest gains within the FTSE 100. This resilience persisted despite fiscal debates, reflecting the UK market’s underlying robustness and the capacity of its largest companies to navigate an increasingly complex macroeconomic environment with measured stability.</w:t>
      </w:r>
      <w:r/>
    </w:p>
    <w:p>
      <w:pPr>
        <w:pStyle w:val="Heading3"/>
      </w:pPr>
      <w:r>
        <w:t>📌 Reference Map:</w:t>
      </w:r>
      <w:r/>
      <w:r/>
    </w:p>
    <w:p>
      <w:pPr>
        <w:pStyle w:val="ListBullet"/>
        <w:spacing w:line="240" w:lineRule="auto"/>
        <w:ind w:left="720"/>
      </w:pPr>
      <w:r/>
      <w:hyperlink r:id="rId9">
        <w:r>
          <w:rPr>
            <w:color w:val="0000EE"/>
            <w:u w:val="single"/>
          </w:rPr>
          <w:t>[1]</w:t>
        </w:r>
      </w:hyperlink>
      <w:r>
        <w:t xml:space="preserve"> (Kalkine Media) - Paragraphs 1, 2, 3, 4, 5, 6, 7, 8, 9</w:t>
      </w:r>
      <w:r/>
    </w:p>
    <w:p>
      <w:pPr>
        <w:pStyle w:val="ListBullet"/>
        <w:spacing w:line="240" w:lineRule="auto"/>
        <w:ind w:left="720"/>
      </w:pPr>
      <w:r/>
      <w:hyperlink r:id="rId10">
        <w:r>
          <w:rPr>
            <w:color w:val="0000EE"/>
            <w:u w:val="single"/>
          </w:rPr>
          <w:t>[2]</w:t>
        </w:r>
      </w:hyperlink>
      <w:r>
        <w:t xml:space="preserve"> (AJ Bell) - Paragraph 7</w:t>
      </w:r>
      <w:r/>
    </w:p>
    <w:p>
      <w:pPr>
        <w:pStyle w:val="ListBullet"/>
        <w:spacing w:line="240" w:lineRule="auto"/>
        <w:ind w:left="720"/>
      </w:pPr>
      <w:r/>
      <w:hyperlink r:id="rId11">
        <w:r>
          <w:rPr>
            <w:color w:val="0000EE"/>
            <w:u w:val="single"/>
          </w:rPr>
          <w:t>[3]</w:t>
        </w:r>
      </w:hyperlink>
      <w:r>
        <w:t xml:space="preserve"> (Sharecast) - Paragraph 8</w:t>
      </w:r>
      <w:r/>
    </w:p>
    <w:p>
      <w:pPr>
        <w:pStyle w:val="ListBullet"/>
        <w:spacing w:line="240" w:lineRule="auto"/>
        <w:ind w:left="720"/>
      </w:pPr>
      <w:r/>
      <w:hyperlink r:id="rId12">
        <w:r>
          <w:rPr>
            <w:color w:val="0000EE"/>
            <w:u w:val="single"/>
          </w:rPr>
          <w:t>[5]</w:t>
        </w:r>
      </w:hyperlink>
      <w:r>
        <w:t xml:space="preserve"> (Evening Standard) - Paragraph 1, 9</w:t>
      </w:r>
      <w:r/>
    </w:p>
    <w:p>
      <w:pPr>
        <w:pStyle w:val="ListBullet"/>
        <w:spacing w:line="240" w:lineRule="auto"/>
        <w:ind w:left="720"/>
      </w:pPr>
      <w:r/>
      <w:hyperlink r:id="rId13">
        <w:r>
          <w:rPr>
            <w:color w:val="0000EE"/>
            <w:u w:val="single"/>
          </w:rPr>
          <w:t>[6]</w:t>
        </w:r>
      </w:hyperlink>
      <w:r>
        <w:t xml:space="preserve"> (Trading Economics)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https://kalkinemedia.com/uk/news/market-updates/ftse-100-stability-strengthens-as-uk-mansion-tax-talks-shape-market-sentiment</w:t>
        </w:r>
      </w:hyperlink>
      <w:r>
        <w:t xml:space="preserve"> - Please view link - unable to able to access data</w:t>
      </w:r>
      <w:r/>
    </w:p>
    <w:p>
      <w:pPr>
        <w:pStyle w:val="ListNumber"/>
        <w:spacing w:line="240" w:lineRule="auto"/>
        <w:ind w:left="720"/>
      </w:pPr>
      <w:r/>
      <w:hyperlink r:id="rId10">
        <w:r>
          <w:rPr>
            <w:color w:val="0000EE"/>
            <w:u w:val="single"/>
          </w:rPr>
          <w:t>https://www.ajbell.co.uk/group/news/forty-two-ftse-100-firms-paid-less-20-tax-their-last-financial-year</w:t>
        </w:r>
      </w:hyperlink>
      <w:r>
        <w:t xml:space="preserve"> - This article discusses the tax rates of FTSE 100 companies, revealing that 42 firms paid less than 20% tax in their last financial year. It highlights that 11 companies paid below 10%, and 31 paid below the 20% UK corporate tax rate. The article attributes these low rates to international business operations and legitimate tax breaks, rather than tax evasion. It also lists the twenty lowest adjusted corporate tax rates among FTSE 100 firms, including BP, Shell, and Prudential, and notes that eight companies paid more than £1 billion in corporation tax worldwide on a statutory basis.</w:t>
      </w:r>
      <w:r/>
    </w:p>
    <w:p>
      <w:pPr>
        <w:pStyle w:val="ListNumber"/>
        <w:spacing w:line="240" w:lineRule="auto"/>
        <w:ind w:left="720"/>
      </w:pPr>
      <w:r/>
      <w:hyperlink r:id="rId11">
        <w:r>
          <w:rPr>
            <w:color w:val="0000EE"/>
            <w:u w:val="single"/>
          </w:rPr>
          <w:t>https://www.sharecast.com/news/risers-and-fallers/ftse-100-movers-banks-hit-by-windfall-tax-fears-rolls-royce-boosted-by-citi-note--20801692.html</w:t>
        </w:r>
      </w:hyperlink>
      <w:r>
        <w:t xml:space="preserve"> - This article reports on the FTSE 100's performance, noting that banks were affected by concerns over potential windfall taxes, while Rolls-Royce's stock was boosted by a Citi note. It mentions that the FTSE 100 index was flat at 9,219.42 in afternoon trade on Friday. The article highlights that banks were hit by windfall tax fears, and Rolls-Royce was boosted by a Citi note, indicating the market's sensitivity to fiscal policy discussions and corporate performance.</w:t>
      </w:r>
      <w:r/>
    </w:p>
    <w:p>
      <w:pPr>
        <w:pStyle w:val="ListNumber"/>
        <w:spacing w:line="240" w:lineRule="auto"/>
        <w:ind w:left="720"/>
      </w:pPr>
      <w:r/>
      <w:hyperlink r:id="rId15">
        <w:r>
          <w:rPr>
            <w:color w:val="0000EE"/>
            <w:u w:val="single"/>
          </w:rPr>
          <w:t>https://climateimpact.edhec.edu/sites/risk/files/pdf/about_us/documents/attachments/IPE_EDHEC-Risk_Research_Insights_Spring_2015.pdf</w:t>
        </w:r>
      </w:hyperlink>
      <w:r>
        <w:t xml:space="preserve"> - This document provides insights into the international sales and emerging market exposure of various FTSE 100 companies. It lists companies like HSBC, Vodafone Group, BP, GlaxoSmithKline, Royal Dutch Shell, British American Tobacco, Lloyds Banking Group, AstraZeneca, BG Group, and Rio Tinto, detailing their non-UK sales and emerging market sales as percentages of total sales. The document offers a comprehensive overview of the global reach and market diversification of these major UK-listed companies.</w:t>
      </w:r>
      <w:r/>
    </w:p>
    <w:p>
      <w:pPr>
        <w:pStyle w:val="ListNumber"/>
        <w:spacing w:line="240" w:lineRule="auto"/>
        <w:ind w:left="720"/>
      </w:pPr>
      <w:r/>
      <w:hyperlink r:id="rId12">
        <w:r>
          <w:rPr>
            <w:color w:val="0000EE"/>
            <w:u w:val="single"/>
          </w:rPr>
          <w:t>https://www.standard.co.uk/business/business-news/shell-persimmon-us-federal-reserve-goldilocks-trump-b1242829.html</w:t>
        </w:r>
      </w:hyperlink>
      <w:r>
        <w:t xml:space="preserve"> - This article discusses the FTSE 100's performance, noting that the index closed up 17.42 points, 0.2%, at 9,165.23. It highlights that the London market opened on an encouraging note, with firms including BP, Shell, Prudential, Standard Chartered, and Fresnillo influencing early performance. The article also mentions that the FTSE 100 made steady progress, pushing back towards record highs, as hopes grew that the US Federal Reserve will lower interest rates in the coming months, indicating a positive market sentiment influenced by both domestic and international factors.</w:t>
      </w:r>
      <w:r/>
    </w:p>
    <w:p>
      <w:pPr>
        <w:pStyle w:val="ListNumber"/>
        <w:spacing w:line="240" w:lineRule="auto"/>
        <w:ind w:left="720"/>
      </w:pPr>
      <w:r/>
      <w:hyperlink r:id="rId13">
        <w:r>
          <w:rPr>
            <w:color w:val="0000EE"/>
            <w:u w:val="single"/>
          </w:rPr>
          <w:t>https://tradingeconomics.com/united-kingdom/stock-market/news/493915</w:t>
        </w:r>
      </w:hyperlink>
      <w:r>
        <w:t xml:space="preserve"> - This article reports on the FTSE 100's performance, noting that the index fell 1.5% on Friday, weighed down by a sharp selloff in banking stocks as concerns over US lenders spread to Europe. It mentions that Barclays and Standard Chartered dropped about 5%, NatWest fell over 3%, and HSBC and Lloyds each declined around 2.5%. The article also notes that broader financials weakened, with Prudential more than 3% down, indicating the market's sensitivity to global financial concerns and their impact on UK-listed companies.</w:t>
      </w:r>
      <w:r/>
    </w:p>
    <w:p>
      <w:pPr>
        <w:pStyle w:val="ListNumber"/>
        <w:spacing w:line="240" w:lineRule="auto"/>
        <w:ind w:left="720"/>
      </w:pPr>
      <w:r/>
      <w:hyperlink r:id="rId16">
        <w:r>
          <w:rPr>
            <w:color w:val="0000EE"/>
            <w:u w:val="single"/>
          </w:rPr>
          <w:t>https://www.cnpp.org.uk/wp-content/uploads/2016/11/GPS-Sections-Prudential-Bulletin-30-September-2016.pdf</w:t>
        </w:r>
      </w:hyperlink>
      <w:r>
        <w:t xml:space="preserve"> - This fund factsheet provides portfolio data for Prudential UK Equity Passive S3 as of 30 September 2016. It lists the top 10 holdings, including HSBC Holdings PLC, British American Tobacco, BP, Royal Dutch Shell B, Royal Dutch Shell A, GlaxoSmithKline, AstraZeneca, Vodafone Group, and Diageo. The document also details the asset allocation, regional allocation, and sector allocation, offering insights into the fund's investment strategy and exposure to various sectors and regions.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news/market-updates/ftse-100-stability-strengthens-as-uk-mansion-tax-talks-shape-market-sentiment" TargetMode="External"/><Relationship Id="rId10" Type="http://schemas.openxmlformats.org/officeDocument/2006/relationships/hyperlink" Target="https://www.ajbell.co.uk/group/news/forty-two-ftse-100-firms-paid-less-20-tax-their-last-financial-year" TargetMode="External"/><Relationship Id="rId11" Type="http://schemas.openxmlformats.org/officeDocument/2006/relationships/hyperlink" Target="https://www.sharecast.com/news/risers-and-fallers/ftse-100-movers-banks-hit-by-windfall-tax-fears-rolls-royce-boosted-by-citi-note--20801692.html" TargetMode="External"/><Relationship Id="rId12" Type="http://schemas.openxmlformats.org/officeDocument/2006/relationships/hyperlink" Target="https://www.standard.co.uk/business/business-news/shell-persimmon-us-federal-reserve-goldilocks-trump-b1242829.html" TargetMode="External"/><Relationship Id="rId13" Type="http://schemas.openxmlformats.org/officeDocument/2006/relationships/hyperlink" Target="https://tradingeconomics.com/united-kingdom/stock-market/news/493915" TargetMode="External"/><Relationship Id="rId14" Type="http://schemas.openxmlformats.org/officeDocument/2006/relationships/hyperlink" Target="https://www.noahwire.com" TargetMode="External"/><Relationship Id="rId15" Type="http://schemas.openxmlformats.org/officeDocument/2006/relationships/hyperlink" Target="https://climateimpact.edhec.edu/sites/risk/files/pdf/about_us/documents/attachments/IPE_EDHEC-Risk_Research_Insights_Spring_2015.pdf" TargetMode="External"/><Relationship Id="rId16" Type="http://schemas.openxmlformats.org/officeDocument/2006/relationships/hyperlink" Target="https://www.cnpp.org.uk/wp-content/uploads/2016/11/GPS-Sections-Prudential-Bulletin-30-September-20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