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Innovations in Retrieval-Augmented Generation (RAG) Architectures for Enterprise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execs alike are turning to smarter AI architectures to cut bills and get usable results sooner. Enterprise teams in the UK and beyond are testing mixed RAG/SLM stacks, tighter evaluation, and human-centred hiring to reduce total cost of ownership and speed return on investment without sacrificing security or accuracy.</w:t>
      </w:r>
      <w:r/>
      <w:r/>
    </w:p>
    <w:p>
      <w:pPr>
        <w:pStyle w:val="ListBullet"/>
        <w:spacing w:line="240" w:lineRule="auto"/>
        <w:ind w:left="720"/>
      </w:pPr>
      <w:r/>
      <w:r>
        <w:rPr>
          <w:b/>
        </w:rPr>
        <w:t>Mix and match:</w:t>
      </w:r>
      <w:r>
        <w:t xml:space="preserve"> Combining retrieval-augmented generation with a specialised small language model (SLM) delivers focused answers with less compute and fewer hallucinations. </w:t>
      </w:r>
      <w:r/>
    </w:p>
    <w:p>
      <w:pPr>
        <w:pStyle w:val="ListBullet"/>
        <w:spacing w:line="240" w:lineRule="auto"/>
        <w:ind w:left="720"/>
      </w:pPr>
      <w:r/>
      <w:r>
        <w:rPr>
          <w:b/>
        </w:rPr>
        <w:t>Lower infrastructure pain:</w:t>
      </w:r>
      <w:r>
        <w:t xml:space="preserve"> Using small DNNs, distillation and CPU-first deployment cuts electricity and GPU costs, while keeping onboarding fast and predictable. </w:t>
      </w:r>
      <w:r/>
    </w:p>
    <w:p>
      <w:pPr>
        <w:pStyle w:val="ListBullet"/>
        <w:spacing w:line="240" w:lineRule="auto"/>
        <w:ind w:left="720"/>
      </w:pPr>
      <w:r/>
      <w:r>
        <w:rPr>
          <w:b/>
        </w:rPr>
        <w:t>Practical governance:</w:t>
      </w:r>
      <w:r>
        <w:t xml:space="preserve"> Corpus-level access, exact retrieval and watermarking reduce legal risk and data leakage, giving teams more confidence to roll out AI. </w:t>
      </w:r>
      <w:r/>
    </w:p>
    <w:p>
      <w:pPr>
        <w:pStyle w:val="ListBullet"/>
        <w:spacing w:line="240" w:lineRule="auto"/>
        <w:ind w:left="720"/>
      </w:pPr>
      <w:r/>
      <w:r>
        <w:rPr>
          <w:b/>
        </w:rPr>
        <w:t>Process matters:</w:t>
      </w:r>
      <w:r>
        <w:t xml:space="preserve"> Better docs, reproducible queries, cache control and targeted QA catch ROI leaks early and keep the system feeling snappy. </w:t>
      </w:r>
      <w:r/>
    </w:p>
    <w:p>
      <w:pPr>
        <w:pStyle w:val="ListBullet"/>
        <w:spacing w:line="240" w:lineRule="auto"/>
        <w:ind w:left="720"/>
      </w:pPr>
      <w:r/>
      <w:r>
        <w:rPr>
          <w:b/>
        </w:rPr>
        <w:t>Human factor:</w:t>
      </w:r>
      <w:r>
        <w:t xml:space="preserve"> Hire differently , recruit globally, reward impact over headcount, and train staff to ask AI for lay explanations; culture shifts deliver disproportionate savings.</w:t>
      </w:r>
      <w:r/>
      <w:r/>
    </w:p>
    <w:p>
      <w:pPr>
        <w:pStyle w:val="Heading2"/>
      </w:pPr>
      <w:r>
        <w:t>Why switching to a mixed RAG and SLM approach cuts costs and headaches</w:t>
      </w:r>
      <w:r/>
    </w:p>
    <w:p>
      <w:r/>
      <w:r>
        <w:t>Early adopters learned the hard way that big generic LLMs can pour tokens , and money , into every conversation. A compact retrieval layer that returns tagged, scored summary cards keeps the heavy lifting narrow and the output relevant and auditable. That structured, compact output reduces hallucination risk and often removes the need for expensive, continual prompt engineering.</w:t>
      </w:r>
      <w:r/>
    </w:p>
    <w:p>
      <w:r/>
      <w:r>
        <w:t>Sensory cue: responses feel more concise and dependable, not long-winded. In practice, teams see much lower API bill surprises because the model only expands into a standard text reply when truly necessary. That means faster ROI and fewer emergency budget conversations.</w:t>
      </w:r>
      <w:r/>
    </w:p>
    <w:p>
      <w:pPr>
        <w:pStyle w:val="Heading2"/>
      </w:pPr>
      <w:r>
        <w:t>How small DNNs, distillation and quantisation make AI affordable at scale</w:t>
      </w:r>
      <w:r/>
    </w:p>
    <w:p>
      <w:r/>
      <w:r>
        <w:t>You don’t always need 40 billion parameters to answer a 1M-token corporate corpus. Distilled models and 4-bit quantisation shrink footprint and speed inference, often letting you run on CPU or low-power servers. The result is lower electricity bills, far smaller cloud invoices and easier on-premises deployments when compliance demands it.</w:t>
      </w:r>
      <w:r/>
    </w:p>
    <w:p>
      <w:r/>
      <w:r>
        <w:t>This feels strangely satisfying: a sleek, lightweight model that still nails domain answers. For many enterprise use cases, reducing model size by 80 percent produces negligible accuracy loss, but dramatic cost savings.</w:t>
      </w:r>
      <w:r/>
    </w:p>
    <w:p>
      <w:pPr>
        <w:pStyle w:val="Heading2"/>
      </w:pPr>
      <w:r>
        <w:t>What to fix first when your Enterprise LLM is leaking ROI</w:t>
      </w:r>
      <w:r/>
    </w:p>
    <w:p>
      <w:r/>
      <w:r>
        <w:t>Start with the easy wins: connect siloed databases so the system doesn’t invent answers because it lacks sources, and implement synthetic prompts for exhaustive QA. Add reproducibility so the same query returns the same answer across sessions; debugging becomes possible instead of guesswork.</w:t>
      </w:r>
      <w:r/>
    </w:p>
    <w:p>
      <w:r/>
      <w:r>
        <w:t>Also, watch caches and memory usage. Uncontrolled caches blow up costs, especially if you later move to GPU. Fixing these operational leaks often delivers ROI faster than swapping models.</w:t>
      </w:r>
      <w:r/>
    </w:p>
    <w:p>
      <w:pPr>
        <w:pStyle w:val="Heading2"/>
      </w:pPr>
      <w:r>
        <w:t>Hiring and culture shifts that actually speed enterprise AI adoption</w:t>
      </w:r>
      <w:r/>
    </w:p>
    <w:p>
      <w:r/>
      <w:r>
        <w:t>Hiring the most expensive engineers who know the latest OpenAI stack isn’t always the path to efficient AI. Look globally for talent, give people permission to spend 10 percent of their time on high-impact projects, and use AI in interviews to test practical problem solving. That diversity and flexibility reduces reliance on costly vendor lock-in and outdated playbooks.</w:t>
      </w:r>
      <w:r/>
    </w:p>
    <w:p>
      <w:r/>
      <w:r>
        <w:t>Plus, tie career progression to impact and cost-conscious outcomes, not just headcount. It’s a small cultural nudge that pays off in faster, cheaper rollouts.</w:t>
      </w:r>
      <w:r/>
    </w:p>
    <w:p>
      <w:pPr>
        <w:pStyle w:val="Heading2"/>
      </w:pPr>
      <w:r>
        <w:t>Security, compliance and governance that protect ROI</w:t>
      </w:r>
      <w:r/>
    </w:p>
    <w:p>
      <w:r/>
      <w:r>
        <w:t>Legal risk and data leakage create massive downstream costs. Implement corpus- and chunk-level access controls, avoid external API calls when data sensitivity demands it, and embed DNN/data watermarking to detect misuse. Exact retrieval for legal or regulatory documents reduces liability and the need for expensive human review.</w:t>
      </w:r>
      <w:r/>
    </w:p>
    <w:p>
      <w:r/>
      <w:r>
        <w:t>These measures make AI rollouts quieter and cheaper: fewer audits, fewer breaches and less emergency firefighting.</w:t>
      </w:r>
      <w:r/>
    </w:p>
    <w:p>
      <w:pPr>
        <w:pStyle w:val="Heading2"/>
      </w:pPr>
      <w:r>
        <w:t>Better evaluation, benchmarking and documentation to keep performance predictable</w:t>
      </w:r>
      <w:r/>
    </w:p>
    <w:p>
      <w:r/>
      <w:r>
        <w:t>Don’t rely on blunt accuracy metrics. Build exhaustive test prompts, include user feedback loops such as “this answer is useless”, and use structured scoring to surface weak data. Keep documentation indexed, versioned and machine-readable so engineers and domain experts can trace how answers were produced.</w:t>
      </w:r>
      <w:r/>
    </w:p>
    <w:p>
      <w:r/>
      <w:r>
        <w:t>When tests are rigorous and reproducible, vendors can’t hide poor behaviour behind clever demos. That predictability makes budgets and benefits easier to forecast.</w:t>
      </w:r>
      <w:r/>
    </w:p>
    <w:p>
      <w:r/>
      <w:r>
        <w:t>Ready to make AI more efficient in your business? Check current vendor options, experiment with an SLM/RAG prototype, and prioritise the human and operational fixes that deliver faster, safer ROI.</w:t>
      </w:r>
      <w:r/>
    </w:p>
    <w:p>
      <w:pPr>
        <w:pStyle w:val="Heading2"/>
      </w:pPr>
      <w:r>
        <w:t>Bibliography</w:t>
      </w:r>
      <w:r/>
      <w:r/>
    </w:p>
    <w:p>
      <w:pPr>
        <w:pStyle w:val="ListNumber"/>
        <w:numPr>
          <w:ilvl w:val="0"/>
          <w:numId w:val="14"/>
        </w:numPr>
        <w:spacing w:line="240" w:lineRule="auto"/>
        <w:ind w:left="720"/>
      </w:pPr>
      <w:r/>
      <w:hyperlink r:id="rId9">
        <w:r>
          <w:rPr>
            <w:color w:val="0000EE"/>
            <w:u w:val="single"/>
          </w:rPr>
          <w:t>https://www.datasciencecentral.com/how-to-get-ai-to-deliver-superior-roi-faster/</w:t>
        </w:r>
      </w:hyperlink>
      <w:r>
        <w:t xml:space="preserve"> - Please view link - unable to able to access data</w:t>
      </w:r>
      <w:r/>
    </w:p>
    <w:p>
      <w:pPr>
        <w:pStyle w:val="ListNumber"/>
        <w:spacing w:line="240" w:lineRule="auto"/>
        <w:ind w:left="720"/>
      </w:pPr>
      <w:r/>
      <w:hyperlink r:id="rId9">
        <w:r>
          <w:rPr>
            <w:color w:val="0000EE"/>
            <w:u w:val="single"/>
          </w:rPr>
          <w:t>https://www.datasciencecentral.com/how-to-get-ai-to-deliver-superior-roi-faster/</w:t>
        </w:r>
      </w:hyperlink>
      <w:r>
        <w:t xml:space="preserve"> - This article discusses strategies to optimise the Total Cost of Ownership (TCO) in AI adoption, focusing on Large Language Models (LLMs). It outlines key cost drivers, including acquisition, implementation, operations, maintenance, support, security, and human factors. The author shares personal experiences of cost optimisation, such as automating business intelligence tasks and leveraging APIs to enhance efficiency. The piece also highlights human aspects influencing AI adoption, like cultural issues, investor pressure, and marketing influence, and offers insights into hiring practices in the age of AI.</w:t>
      </w:r>
      <w:r/>
    </w:p>
    <w:p>
      <w:pPr>
        <w:pStyle w:val="ListNumber"/>
        <w:spacing w:line="240" w:lineRule="auto"/>
        <w:ind w:left="720"/>
      </w:pPr>
      <w:r/>
      <w:hyperlink r:id="rId10">
        <w:r>
          <w:rPr>
            <w:color w:val="0000EE"/>
            <w:u w:val="single"/>
          </w:rPr>
          <w:t>https://www.microsoft.com/en-us/microsoft-365/business-insights-ideas/resources/ai-implementation</w:t>
        </w:r>
      </w:hyperlink>
      <w:r>
        <w:t xml:space="preserve"> - Microsoft's guide on AI implementation emphasises the importance of secure, high-quality data for successful AI adoption. It recommends best practices such as prioritising data security through encryption and regular audits, establishing a unified data source by consolidating data into a central repository, ensuring data quality through regular cleaning and validation, and implementing data governance policies to enforce clear guidelines on data ownership and access.</w:t>
      </w:r>
      <w:r/>
    </w:p>
    <w:p>
      <w:pPr>
        <w:pStyle w:val="ListNumber"/>
        <w:spacing w:line="240" w:lineRule="auto"/>
        <w:ind w:left="720"/>
      </w:pPr>
      <w:r/>
      <w:hyperlink r:id="rId11">
        <w:r>
          <w:rPr>
            <w:color w:val="0000EE"/>
            <w:u w:val="single"/>
          </w:rPr>
          <w:t>https://en.wikipedia.org/wiki/Total_cost_of_ownership</w:t>
        </w:r>
      </w:hyperlink>
      <w:r>
        <w:t xml:space="preserve"> - The Wikipedia page on Total Cost of Ownership (TCO) defines it as a financial estimate intended to help buyers and owners determine the direct and indirect costs of a product or service. It recognises that ownership costs are significantly greater than the cost of purchasing or acquiring a product, encompassing aspects like maintenance, training, and operational expenses.</w:t>
      </w:r>
      <w:r/>
    </w:p>
    <w:p>
      <w:pPr>
        <w:pStyle w:val="ListNumber"/>
        <w:spacing w:line="240" w:lineRule="auto"/>
        <w:ind w:left="720"/>
      </w:pPr>
      <w:r/>
      <w:hyperlink r:id="rId12">
        <w:r>
          <w:rPr>
            <w:color w:val="0000EE"/>
            <w:u w:val="single"/>
          </w:rPr>
          <w:t>https://www.cubix.co/blog/strategies-for-scaling-ai-adoption-in-organizations/</w:t>
        </w:r>
      </w:hyperlink>
      <w:r>
        <w:t xml:space="preserve"> - This article outlines strategies to enhance AI adoption within organisations, highlighting the necessity of active executive backing to secure resources and foster a culture of innovation. It also discusses the establishment of an AI Centre of Excellence (CoE) to ensure consistency and accelerate AI initiatives, noting that 77% of global enterprises have implemented AI and established such centres.</w:t>
      </w:r>
      <w:r/>
    </w:p>
    <w:p>
      <w:pPr>
        <w:pStyle w:val="ListNumber"/>
        <w:spacing w:line="240" w:lineRule="auto"/>
        <w:ind w:left="720"/>
      </w:pPr>
      <w:r/>
      <w:hyperlink r:id="rId13">
        <w:r>
          <w:rPr>
            <w:color w:val="0000EE"/>
            <w:u w:val="single"/>
          </w:rPr>
          <w:t>https://agentiveaiq.com/blog/how-much-does-ai-automation-cost-in-2025</w:t>
        </w:r>
      </w:hyperlink>
      <w:r>
        <w:t xml:space="preserve"> - AgentiveAIQ's blog post addresses the hidden expenses associated with AI automation, noting that deployment costs can exceed base licensing by 2–4 times, including data preparation, integration, and ongoing optimisation. It highlights the importance of smart design and enterprise-ready efficiency in minimising these costs, emphasising features like no-code deployment and pre-trained industry agents.</w:t>
      </w:r>
      <w:r/>
    </w:p>
    <w:p>
      <w:pPr>
        <w:pStyle w:val="ListNumber"/>
        <w:spacing w:line="240" w:lineRule="auto"/>
        <w:ind w:left="720"/>
      </w:pPr>
      <w:r/>
      <w:hyperlink r:id="rId14">
        <w:r>
          <w:rPr>
            <w:color w:val="0000EE"/>
            <w:u w:val="single"/>
          </w:rPr>
          <w:t>https://en.wikipedia.org/wiki/AI_SEO</w:t>
        </w:r>
      </w:hyperlink>
      <w:r>
        <w:t xml:space="preserve"> - The Wikipedia page on AI SEO (Artificial Intelligence Search Engine Optimisation) refers to the application of AI technologies to enhance and automate the process of optimising websites and online content for search engines. It combines traditional SEO techniques with AI-driven tools capable of analysing vast amounts of data, predicting search trends, generating content, and improving website performance in real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tasciencecentral.com/how-to-get-ai-to-deliver-superior-roi-faster/" TargetMode="External"/><Relationship Id="rId10" Type="http://schemas.openxmlformats.org/officeDocument/2006/relationships/hyperlink" Target="https://www.microsoft.com/en-us/microsoft-365/business-insights-ideas/resources/ai-implementation" TargetMode="External"/><Relationship Id="rId11" Type="http://schemas.openxmlformats.org/officeDocument/2006/relationships/hyperlink" Target="https://en.wikipedia.org/wiki/Total_cost_of_ownership" TargetMode="External"/><Relationship Id="rId12" Type="http://schemas.openxmlformats.org/officeDocument/2006/relationships/hyperlink" Target="https://www.cubix.co/blog/strategies-for-scaling-ai-adoption-in-organizations/" TargetMode="External"/><Relationship Id="rId13" Type="http://schemas.openxmlformats.org/officeDocument/2006/relationships/hyperlink" Target="https://agentiveaiq.com/blog/how-much-does-ai-automation-cost-in-2025" TargetMode="External"/><Relationship Id="rId14" Type="http://schemas.openxmlformats.org/officeDocument/2006/relationships/hyperlink" Target="https://en.wikipedia.org/wiki/AI_S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