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Specialised AI and autonomous agents reshape enterprise operations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2026, the generative artificial intelligence (AI) landscape is witnessing a profound shift away from the pursuit of ever-larger models towards more specialised, right-sized AI systems that integrate seamlessly into real-world business workflows. The transformative trend is no longer about hype-driven massive models but about precision tools purpose-built to solve specific operational challenges, heralding measurable productivity gains across industries such as sales, supply chains, customer service, manufacturing, retail, and education.</w:t>
      </w:r>
      <w:r/>
    </w:p>
    <w:p>
      <w:r/>
      <w:r>
        <w:t>One of the standout innovations is agentic AI systems, which represent a leap from passive chatbots to autonomous agents capable of planning, executing, and refining complex, multi-step business tasks without ongoing human supervision. These AI systems do not merely react to commands; they analyse contexts across multiple domains, proactively manage inventories by factoring in weather and market trends, and negotiate supplier terms autonomously. However, deploying such systems requires organisations to invest significantly in cleaning and organising years of operational data, as practical experience shows that successful implementations often entail months dedicated to data preparation before AI rollout.</w:t>
      </w:r>
      <w:r/>
    </w:p>
    <w:p>
      <w:r/>
      <w:r>
        <w:t>Despite the promise, skepticism remains about agentic AI’s current viability. A Gartner report cautions that over 40% of agentic AI projects will be scrapped by 2027 owing to inflated costs and unclear business value. It highlights a widespread phenomenon of 'agent washing,' where many products are inaccurately marketed as possessing autonomous agentic capabilities. Only a narrow subset of vendors genuinely delivers these sophisticated systems. This contrasts with more optimistic projections estimating that by 2026, around 40% of enterprise applications will incorporate task-specific AI agents. Such adoption is anticipated to reshape enterprise operations fundamentally, with agentic AI projected to capture an increasing share of software revenue in years to come. Nonetheless, adoption hurdles such as trust deficits among IT leaders remain significant barriers to scaling; those organisations that overcome these challenges report substantially higher financial returns from agentic AI integration.</w:t>
      </w:r>
      <w:r/>
    </w:p>
    <w:p>
      <w:r/>
      <w:r>
        <w:t>Parallel to agentic AI, domain-specific language models (DSLMs) have emerged as critical tools optimised for specialised applications. Unlike one-size-fits-all large language models, these are trained on highly curated datasets from specific industries, such as millions of legal contracts, patient medical records, or financial transactions, delivering higher accuracy and efficiency. For example, legal AI models trained on extensive contracts can detect issues missed by even expert human lawyers with markedly improved precision. A leading-edge framework called FineScope demonstrates how models can be pruned and optimised to retain domain knowledge while significantly reducing computational overhead. Industry experts predict that revenue driven by DSLMs will reach into the hundreds of billions by the mid-2030s, underpinned by continued technology innovations like self-adapting models capable of in-field learning.</w:t>
      </w:r>
      <w:r/>
    </w:p>
    <w:p>
      <w:r/>
      <w:r>
        <w:t>The rise of small language models with parameter counts measured in the low billions further underscores a significant shift toward right-sizing AI for enterprise use. These models often run on modest hardware, such as laptops or even smartphones, and excel in latency-sensitive applications requiring near-instant responses. For instance, Microsoft’s Phi-3 model operates on mobile devices outperforming much larger counterparts on coding tasks, while Mistral’s 7B model delivers highly accurate customer service handling at drastically lower compute costs than larger cloud-based models. Such solutions are well suited to edge computing environments where speed and privacy are paramount, including manufacturing robotics, medical devices, and point-of-sale systems.</w:t>
      </w:r>
      <w:r/>
    </w:p>
    <w:p>
      <w:r/>
      <w:r>
        <w:t>Generative AI is also driving innovation beyond text, with dynamic video and 3D content generation becoming new frontiers. Marketing teams generate personalised video ads tailored to individual viewer demographics, while augmented reality showcases customised furniture placement within customers’ actual living spaces. However, true real-time generation of high-quality 3D content at scale remains technically and economically challenging, with experts estimating it will be around 18 months before production-quality solutions become broadly viable.</w:t>
      </w:r>
      <w:r/>
    </w:p>
    <w:p>
      <w:r/>
      <w:r>
        <w:t>Synthetic data generation is another breakthrough enabling AI training without exposing sensitive or regulated real data. Industries such as banking and healthcare leverage artificially created datasets that statistically mirror true data to train models, dramatically reducing privacy concerns without sacrificing performance. MIT research shows synthetic medical images can train diagnostic models with near-parity in accuracy to real patient data. Yet, generating high-quality synthetic training data demands deep domain expertise and careful parameter tuning rather than simple automated procedures.</w:t>
      </w:r>
      <w:r/>
    </w:p>
    <w:p>
      <w:r/>
      <w:r>
        <w:t>Across industries, the application of generative AI is proving tangible. In education, AI-driven personalised learning platforms identify individual student learning patterns and adapt teaching methods dynamically, improving pass rates by over 30%. Manufacturing sees predictive maintenance systems cutting unplanned downtime by 67% and lowering maintenance costs through precise intervention recommendations. Retail experiences a surge in hyper-personalised customer engagement, with micro-personalisation of every product description and marketing communication boosting conversion rates by 43%. Customer service AI assistants with advanced contextual and emotional understanding handle millions of monthly conversations, achieving satisfaction levels surpassing human agents through rapid, informed responses.</w:t>
      </w:r>
      <w:r/>
    </w:p>
    <w:p>
      <w:r/>
      <w:r>
        <w:t>The companies achieving the most significant returns from these AI advancements focus on targeted, data-driven deployments, starting with small-scale projects to address pressing operational problems, iterating carefully, and scaling practical AI that integrates smoothly without disrupting established workflows. They recognise that AI adoption is not merely a technology upgrade but an operational transformation involving clean data, redefined processes, and cultural change.</w:t>
      </w:r>
      <w:r/>
    </w:p>
    <w:p>
      <w:r/>
      <w:r>
        <w:t>As the AI landscape evolves rapidly, the crucial dividing line of the next 18 months will be between organisations that embed AI deeply within their core operations and those stuck in perpetual pilot phases. The tools and specialised capabilities necessary to deliver real business value today are abundant for those ready to adopt them pragmatically and strategically.</w:t>
      </w:r>
      <w:r/>
    </w:p>
    <w:p>
      <w:pPr>
        <w:pStyle w:val="Heading3"/>
      </w:pPr>
      <w:r>
        <w:t>📌 Reference Map:</w:t>
      </w:r>
      <w:r/>
      <w:r/>
    </w:p>
    <w:p>
      <w:pPr>
        <w:pStyle w:val="ListBullet"/>
        <w:spacing w:line="240" w:lineRule="auto"/>
        <w:ind w:left="720"/>
      </w:pPr>
      <w:r/>
      <w:hyperlink r:id="rId9">
        <w:r>
          <w:rPr>
            <w:color w:val="0000EE"/>
            <w:u w:val="single"/>
          </w:rPr>
          <w:t>[1]</w:t>
        </w:r>
      </w:hyperlink>
      <w:r>
        <w:t xml:space="preserve"> (EMB Blog) - Paragraphs 1, 2, 3, 4, 5, 6, 7, 8, 9, 10, 11</w:t>
      </w:r>
      <w:r/>
    </w:p>
    <w:p>
      <w:pPr>
        <w:pStyle w:val="ListBullet"/>
        <w:spacing w:line="240" w:lineRule="auto"/>
        <w:ind w:left="720"/>
      </w:pPr>
      <w:r/>
      <w:hyperlink r:id="rId10">
        <w:r>
          <w:rPr>
            <w:color w:val="0000EE"/>
            <w:u w:val="single"/>
          </w:rPr>
          <w:t>[2]</w:t>
        </w:r>
      </w:hyperlink>
      <w:r>
        <w:t xml:space="preserve"> (Reuters) - Paragraph 3</w:t>
      </w:r>
      <w:r/>
    </w:p>
    <w:p>
      <w:pPr>
        <w:pStyle w:val="ListBullet"/>
        <w:spacing w:line="240" w:lineRule="auto"/>
        <w:ind w:left="720"/>
      </w:pPr>
      <w:r/>
      <w:hyperlink r:id="rId11">
        <w:r>
          <w:rPr>
            <w:color w:val="0000EE"/>
            <w:u w:val="single"/>
          </w:rPr>
          <w:t>[3]</w:t>
        </w:r>
      </w:hyperlink>
      <w:r>
        <w:t xml:space="preserve"> (MIT Sloan Management Review) - Paragraph 3</w:t>
      </w:r>
      <w:r/>
    </w:p>
    <w:p>
      <w:pPr>
        <w:pStyle w:val="ListBullet"/>
        <w:spacing w:line="240" w:lineRule="auto"/>
        <w:ind w:left="720"/>
      </w:pPr>
      <w:r/>
      <w:hyperlink r:id="rId12">
        <w:r>
          <w:rPr>
            <w:color w:val="0000EE"/>
            <w:u w:val="single"/>
          </w:rPr>
          <w:t>[4]</w:t>
        </w:r>
      </w:hyperlink>
      <w:r>
        <w:t xml:space="preserve"> (arXiv) - Paragraph 4</w:t>
      </w:r>
      <w:r/>
    </w:p>
    <w:p>
      <w:pPr>
        <w:pStyle w:val="ListBullet"/>
        <w:spacing w:line="240" w:lineRule="auto"/>
        <w:ind w:left="720"/>
      </w:pPr>
      <w:r/>
      <w:hyperlink r:id="rId13">
        <w:r>
          <w:rPr>
            <w:color w:val="0000EE"/>
            <w:u w:val="single"/>
          </w:rPr>
          <w:t>[5]</w:t>
        </w:r>
      </w:hyperlink>
      <w:r>
        <w:t xml:space="preserve"> (LinkedIn by Raja PhD) - Paragraph 2</w:t>
      </w:r>
      <w:r/>
    </w:p>
    <w:p>
      <w:pPr>
        <w:pStyle w:val="ListBullet"/>
        <w:spacing w:line="240" w:lineRule="auto"/>
        <w:ind w:left="720"/>
      </w:pPr>
      <w:r/>
      <w:hyperlink r:id="rId14">
        <w:r>
          <w:rPr>
            <w:color w:val="0000EE"/>
            <w:u w:val="single"/>
          </w:rPr>
          <w:t>[6]</w:t>
        </w:r>
      </w:hyperlink>
      <w:r>
        <w:t xml:space="preserve"> (Gartner Conference) - Paragraph 4</w:t>
      </w:r>
      <w:r/>
    </w:p>
    <w:p>
      <w:pPr>
        <w:pStyle w:val="ListBullet"/>
        <w:spacing w:line="240" w:lineRule="auto"/>
        <w:ind w:left="720"/>
      </w:pPr>
      <w:r/>
      <w:hyperlink r:id="rId15">
        <w:r>
          <w:rPr>
            <w:color w:val="0000EE"/>
            <w:u w:val="single"/>
          </w:rPr>
          <w:t>[7]</w:t>
        </w:r>
      </w:hyperlink>
      <w:r>
        <w:t xml:space="preserve"> (IT Pro via Capgemini report) -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https://blog.emb.global/generative-ai-trends-to-watch-in-2026-and-beyond/</w:t>
        </w:r>
      </w:hyperlink>
      <w:r>
        <w:t xml:space="preserve"> - Please view link - unable to able to access data</w:t>
      </w:r>
      <w:r/>
    </w:p>
    <w:p>
      <w:pPr>
        <w:pStyle w:val="ListNumber"/>
        <w:spacing w:line="240" w:lineRule="auto"/>
        <w:ind w:left="720"/>
      </w:pPr>
      <w:r/>
      <w:hyperlink r:id="rId10">
        <w:r>
          <w:rPr>
            <w:color w:val="0000EE"/>
            <w:u w:val="single"/>
          </w:rPr>
          <w:t>https://www.reuters.com/business/over-40-agentic-ai-projects-will-be-scrapped-by-2027-gartner-says-2025-06-25/</w:t>
        </w:r>
      </w:hyperlink>
      <w:r>
        <w:t xml:space="preserve"> - A Gartner report predicts that over 40% of agentic AI projects will be cancelled by the end of 2027 due to escalating costs and unclear business value. Despite significant investments from major tech firms, many of these projects remain in early, experimental stages and are often driven by hype rather than practical application. Gartner notes a trend of 'agent washing,' where vendors mislabel conventional AI tools as agentic without true autonomous capabilities. Currently, only about 130 vendors genuinely offer agentic AI among thousands claiming to do so.</w:t>
      </w:r>
      <w:r/>
    </w:p>
    <w:p>
      <w:pPr>
        <w:pStyle w:val="ListNumber"/>
        <w:spacing w:line="240" w:lineRule="auto"/>
        <w:ind w:left="720"/>
      </w:pPr>
      <w:r/>
      <w:hyperlink r:id="rId11">
        <w:r>
          <w:rPr>
            <w:color w:val="0000EE"/>
            <w:u w:val="single"/>
          </w:rPr>
          <w:t>https://www.mitsloanme.com/article/agentic-ai-set-to-reshape-40-of-enterprise-applications-by-2026-new-research-finds/</w:t>
        </w:r>
      </w:hyperlink>
      <w:r>
        <w:t xml:space="preserve"> - Research forecasts that by 2026, 40% of enterprise applications will be integrated with task-specific AI agents, up from less than 5% today. This shift signifies a move from individual productivity tools to agentic AI systems capable of driving collaborative workflows and making autonomous decisions. Gartner believes these capabilities will not only improve operations but also reshape how enterprises structure teams, manage data, and deliver services. The report estimates that agentic AI will account for nearly 30% of enterprise application software revenue by 2035, surpassing $450 billion, compared to just 2% in 2025.</w:t>
      </w:r>
      <w:r/>
    </w:p>
    <w:p>
      <w:pPr>
        <w:pStyle w:val="ListNumber"/>
        <w:spacing w:line="240" w:lineRule="auto"/>
        <w:ind w:left="720"/>
      </w:pPr>
      <w:r/>
      <w:hyperlink r:id="rId12">
        <w:r>
          <w:rPr>
            <w:color w:val="0000EE"/>
            <w:u w:val="single"/>
          </w:rPr>
          <w:t>https://arxiv.org/abs/2505.00624</w:t>
        </w:r>
      </w:hyperlink>
      <w:r>
        <w:t xml:space="preserve"> - The paper introduces FineScope, a framework for deriving compact, domain-optimized large language models (LLMs) from larger pretrained models. FineScope leverages the Sparse Autoencoder (SAE) framework to extract domain-specific subsets from large datasets. It applies structured pruning with domain-specific constraints, ensuring that the resulting pruned models retain essential knowledge for the target domain. To further enhance performance, these pruned models undergo self-data distillation, leveraging SAE-curated datasets to restore key domain-specific information lost during pruning. Extensive experiments demonstrate that FineScope achieves highly competitive performance, outperforming several large-scale state-of-the-art LLMs in domain-specific tasks.</w:t>
      </w:r>
      <w:r/>
    </w:p>
    <w:p>
      <w:pPr>
        <w:pStyle w:val="ListNumber"/>
        <w:spacing w:line="240" w:lineRule="auto"/>
        <w:ind w:left="720"/>
      </w:pPr>
      <w:r/>
      <w:hyperlink r:id="rId13">
        <w:r>
          <w:rPr>
            <w:color w:val="0000EE"/>
            <w:u w:val="single"/>
          </w:rPr>
          <w:t>https://www.linkedin.com/pulse/agentic-ai-revolution-navigating-trends-2024-2025-2026-raja-phd-2eixc</w:t>
        </w:r>
      </w:hyperlink>
      <w:r>
        <w:t xml:space="preserve"> - The article discusses the evolution of agentic AI, highlighting its integration into enterprise operations by 2026. It describes how agentic AI systems have become the invisible, intelligent operating system orchestrating entire businesses, managing routine and complex tasks autonomously. The piece emphasizes the transformation of business processes, such as financial management and legal compliance, through the deployment of AI agents that handle tasks like invoice processing, dynamic budget allocation, and compliance monitoring without human intervention.</w:t>
      </w:r>
      <w:r/>
    </w:p>
    <w:p>
      <w:pPr>
        <w:pStyle w:val="ListNumber"/>
        <w:spacing w:line="240" w:lineRule="auto"/>
        <w:ind w:left="720"/>
      </w:pPr>
      <w:r/>
      <w:hyperlink r:id="rId14">
        <w:r>
          <w:rPr>
            <w:color w:val="0000EE"/>
            <w:u w:val="single"/>
          </w:rPr>
          <w:t>https://www.gartner.com/en/conferences/na/product-leadership-us/sessions/detail/4288476-Next-Gen-DSLMs-Breakthrough-Tech-for-Hyper-Efficient-Domain-Specific-Language-Models</w:t>
        </w:r>
      </w:hyperlink>
      <w:r>
        <w:t xml:space="preserve"> - This session at the Gartner Product Leadership Conference 2026 focuses on the advancements in domain-specific language models (DSLMs). It discusses how technology innovations, including self-adapting models for in-field learning and domain reasoning, will unlock growth in this area. The session highlights that revenue from DSLMs is projected to reach $131 billion by 2035, driven by these breakthroughs. Attendees can learn how leading providers leverage domain expertise to differentiate and accelerate DSLM adoption.</w:t>
      </w:r>
      <w:r/>
    </w:p>
    <w:p>
      <w:pPr>
        <w:pStyle w:val="ListNumber"/>
        <w:spacing w:line="240" w:lineRule="auto"/>
        <w:ind w:left="720"/>
      </w:pPr>
      <w:r/>
      <w:hyperlink r:id="rId15">
        <w:r>
          <w:rPr>
            <w:color w:val="0000EE"/>
            <w:u w:val="single"/>
          </w:rPr>
          <w:t>https://www.itpro.com/technology/artificial-intelligence/it-leaders-dont-trust-ai-agents-yet-and-theyre-missing-out-on-huge-financial-gains</w:t>
        </w:r>
      </w:hyperlink>
      <w:r>
        <w:t xml:space="preserve"> - A recent Capgemini report highlights that while agentic AI could generate up to $450 billion in economic value over the next three years, its adoption remains limited due to trust issues among IT leaders. Only 2% of organizations have fully scaled deployments, and fewer than 25% have even piloted such systems. Businesses that have scaled agentic AI are projected to earn an average of $382 million, compared to $76 million for those still in early stages. The article emphasizes the need for a strategic shift encompassing people, processes, trust, and ethical development to successfully integrate AI agents.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g.emb.global/generative-ai-trends-to-watch-in-2026-and-beyond/" TargetMode="External"/><Relationship Id="rId10" Type="http://schemas.openxmlformats.org/officeDocument/2006/relationships/hyperlink" Target="https://www.reuters.com/business/over-40-agentic-ai-projects-will-be-scrapped-by-2027-gartner-says-2025-06-25/" TargetMode="External"/><Relationship Id="rId11" Type="http://schemas.openxmlformats.org/officeDocument/2006/relationships/hyperlink" Target="https://www.mitsloanme.com/article/agentic-ai-set-to-reshape-40-of-enterprise-applications-by-2026-new-research-finds/" TargetMode="External"/><Relationship Id="rId12" Type="http://schemas.openxmlformats.org/officeDocument/2006/relationships/hyperlink" Target="https://arxiv.org/abs/2505.00624" TargetMode="External"/><Relationship Id="rId13" Type="http://schemas.openxmlformats.org/officeDocument/2006/relationships/hyperlink" Target="https://www.linkedin.com/pulse/agentic-ai-revolution-navigating-trends-2024-2025-2026-raja-phd-2eixc" TargetMode="External"/><Relationship Id="rId14" Type="http://schemas.openxmlformats.org/officeDocument/2006/relationships/hyperlink" Target="https://www.gartner.com/en/conferences/na/product-leadership-us/sessions/detail/4288476-Next-Gen-DSLMs-Breakthrough-Tech-for-Hyper-Efficient-Domain-Specific-Language-Models" TargetMode="External"/><Relationship Id="rId15" Type="http://schemas.openxmlformats.org/officeDocument/2006/relationships/hyperlink" Target="https://www.itpro.com/technology/artificial-intelligence/it-leaders-dont-trust-ai-agents-yet-and-theyre-missing-out-on-huge-financial-gai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