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Boston Tech Scene Celebrates 2024 Tech Power Players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Boston Tech Scene Celebrates 2024 Tech Power Players</w:t>
      </w:r>
    </w:p>
    <w:p>
      <w:r>
        <w:t xml:space="preserve">The Boston Globe recently hosted a luncheon at the Newbury Hotel, celebrating its third annual Tech Power Players 50 list. This list highlights New England’s most influential figures in technology, including executives, founders, investors, and professors who are shaping sectors such as software, robotics, cybersecurity, climate tech, health tech, and venture capital. </w:t>
      </w:r>
    </w:p>
    <w:p>
      <w:r>
        <w:t>Despite a downturn in venture capital funding and slow IPO and acquisition activities in 2023, new innovators and entrepreneurs continue to bring fresh ideas and diversity to Boston’s vibrant tech ecosystem. Key figures at the event emphasized the importance of optimism amidst technological challenges, particularly with advancements in AI.</w:t>
      </w:r>
    </w:p>
    <w:p>
      <w:r>
        <w:t>Notably, Tye Brady, Chief Technologist at Amazon Robotics and co-founder of MassRobotics, encouraged attendees to lead with hope rather than fear when it comes to AI, highlighting its transformative potential.</w:t>
      </w:r>
    </w:p>
    <w:p>
      <w:r>
        <w:t>The 2024 Tech Power Players list features a mix of familiar faces alongside new innovators, capturing a snapshot of those driving local innovation with a global impact.</w:t>
      </w:r>
    </w:p>
    <w:p>
      <w:r>
        <w:t>Gregory T. Huang can be reached at greg.huang@globe.com. Follow him @gthuang.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