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Indie Games Shine Amid Industry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Indie Games Shine Amid Industry Challenges</w:t>
      </w:r>
    </w:p>
    <w:p>
      <w:r>
        <w:t>The gaming industry has faced significant disruptions in 2024, with numerous layoffs, studio closures, and in-progress game cancellations, largely due to corporate cost-cutting measures. Despite this downturn, several indie games have found remarkable success, signaling a bright spot in the industry.</w:t>
      </w:r>
    </w:p>
    <w:p>
      <w:r>
        <w:t>One such standout is "Animal Well," published by Bigmode. With a nostalgic lo-fi aesthetic, the game immerses players in a subterranean labyrinth filled with creatures and challenging puzzles. Players navigate as a blob-like character, using wits rather than combat to survive. The game’s intricate design and mysterious charm have garnered positive attention.</w:t>
      </w:r>
    </w:p>
    <w:p>
      <w:r>
        <w:t>Other notable indie successes include "Helldivers 2," which sold 12 million copies since its February release, and "Balatro," a poker roguelike developed by a single person, which achieved one million sales. Additionally, early access titles like "Manor Lords" and "Hades II" have attracted large player bases.</w:t>
      </w:r>
    </w:p>
    <w:p>
      <w:r>
        <w:t>Upcoming releases, such as the detective puzzle game "Lorelei and the Laser Eyes" from Annapurna, continue to showcase the inventive spirit within the indie game sector. Despite the hardships faced by larger studios, the flourishing indie scene provides a sense of optimism for the future of gaming.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