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Investment potential in Palantir and Nvidia as AI sector booms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rapidly evolving landscape, investment analysts are turning their attention to two significant players in the artificial intelligence (AI) sector: Palantir Technologies and Nvidia Corporation. Expectations for AI spending are set to surpass $300 billion in 2025, driven by advancements and demand across various industries. This surge reflects a compound annual growth rate exceeding 25% through 2028, heralding a transformative shift in technology.</w:t>
      </w:r>
    </w:p>
    <w:p>
      <w:r>
        <w:t>Palantir Technologies, specialising in data integration and analytics, has emerged as a potent force in the AI arena. The company operates through two primary platforms: Gotham and Foundry. Gotham focuses on government and defence applications, whereas Foundry caters to commercial enterprises, enhancing decision-making through actionable intelligence derived from complex data sets. Palantir utilises what it terms “private AI” solutions, which prioritise data security and privacy, making its technologies appealing to industries that seek to leverage AI while maintaining control over proprietary information.</w:t>
      </w:r>
    </w:p>
    <w:p>
      <w:r>
        <w:t>The company's strategic growth is reflected in a notable 27% year-over-year revenue increase, a clear indication of its rising influence in the commercial sector. By providing tailored AI solutions, Palantir positions itself as a valuable partner for businesses aiming to integrate AI capabilities into their operations. The company stresses its role in orchestrating existing AI models with clients' data, enabling organisations to harness advanced analytics in high-stakes environments.</w:t>
      </w:r>
    </w:p>
    <w:p>
      <w:r>
        <w:t>Conversely, Nvidia has established itself as the cornerstone of AI infrastructure. Originally founded in 1993 as a gaming graphics card manufacturer, Nvidia has transformed into a leader in AI development. Its graphics processing units (GPUs) serve as vital tools for neural networks, allowing for the computational power necessary to drive AI advancements. Nvidia's CUDA software ecosystem is also crucial, providing developers with the tools to create AI applications, fostering both software and hardware integration.</w:t>
      </w:r>
    </w:p>
    <w:p>
      <w:r>
        <w:t>Nvidia's financial trajectory has been robust, with its data centre segment generating nearly 88% of its revenue, further illustrating its dominance in the market. The company’s partnerships with major cloud providers amplify its influence, solidifying its role as a key player in AI deployment and infrastructure. As a result, Nvidia commands a formidable market cap that underscores its significant position in the industry.</w:t>
      </w:r>
    </w:p>
    <w:p>
      <w:r>
        <w:t>Investors seeking to engage with either Palantir or Nvidia must weigh their distinct offerings. Palantir appeals to those interested in data-centric business solutions, focusing on orchestrating AI for practical applications across various sectors, including healthcare and manufacturing. In contrast, Nvidia represents a more traditional investment focused on hardware robustness and widespread application through its expansive ecosystem.</w:t>
      </w:r>
    </w:p>
    <w:p>
      <w:r>
        <w:t>The choice between the companies raises critical considerations. Palantir’s continued revenue growth may attract those looking for innovative approaches to AI, even amid volatility in the stock market. Nvidia, on the other hand, may be more appealing to those seeking stability and established market leadership, backed by its extensive capabilities in AI hardware and software.</w:t>
      </w:r>
    </w:p>
    <w:p>
      <w:r>
        <w:t>As both companies play integral roles in the unfolding AI narrative, trends indicate a considerable shift towards solutions that secure proprietary data, alongside ongoing improvements in hardware capabilities to fulfil the growing computational demands of AI applications. Investors are thus prompted to assess their strategies in light of these developments within the thriving AI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https://coingeek.com/idc-guide-predicts-worldwide-ai-spending-to-reach-632-billion-by-2028/</w:t>
        </w:r>
      </w:hyperlink>
      <w:r>
        <w:t xml:space="preserve"> - This article supports the claim that AI spending is expected to grow significantly, with global AI spending projected to reach $632 billion by 2028, driven by a compound annual growth rate exceeding 25%.</w:t>
      </w:r>
    </w:p>
    <w:p>
      <w:pPr>
        <w:pStyle w:val="ListBullet"/>
      </w:pPr>
      <w:hyperlink r:id="rId12">
        <w:r>
          <w:rPr>
            <w:u w:val="single"/>
            <w:color w:val="0000FF"/>
            <w:rStyle w:val="Hyperlink"/>
          </w:rPr>
          <w:t>https://www.mi-3.com.au/20-08-2024/ai-spending-skyrocket-632bn-2028-idc-predicts</w:t>
        </w:r>
      </w:hyperlink>
      <w:r>
        <w:t xml:space="preserve"> - This article corroborates the forecast of AI spending reaching $632 billion by 2028, highlighting the rapid growth in AI adoption across industries.</w:t>
      </w:r>
    </w:p>
    <w:p>
      <w:pPr>
        <w:pStyle w:val="ListBullet"/>
      </w:pPr>
      <w:hyperlink r:id="rId13">
        <w:r>
          <w:rPr>
            <w:u w:val="single"/>
            <w:color w:val="0000FF"/>
            <w:rStyle w:val="Hyperlink"/>
          </w:rPr>
          <w:t>https://uktin.net/whats-happening/news/worldwide-spending-artificial-intelligence-forecast-reach-632bn-2028-idc</w:t>
        </w:r>
      </w:hyperlink>
      <w:r>
        <w:t xml:space="preserve"> - This piece supports the notion that AI spending will more than double by 2028, emphasizing the role of generative AI in driving this growth.</w:t>
      </w:r>
    </w:p>
    <w:p>
      <w:pPr>
        <w:pStyle w:val="ListBullet"/>
      </w:pPr>
      <w:hyperlink r:id="rId14">
        <w:r>
          <w:rPr>
            <w:u w:val="single"/>
            <w:color w:val="0000FF"/>
            <w:rStyle w:val="Hyperlink"/>
          </w:rPr>
          <w:t>https://www.palantir.com/platforms/</w:t>
        </w:r>
      </w:hyperlink>
      <w:r>
        <w:t xml:space="preserve"> - This webpage provides information on Palantir's platforms, including Gotham and Foundry, which are central to its AI solutions for government and commercial sectors.</w:t>
      </w:r>
    </w:p>
    <w:p>
      <w:pPr>
        <w:pStyle w:val="ListBullet"/>
      </w:pPr>
      <w:hyperlink r:id="rId15">
        <w:r>
          <w:rPr>
            <w:u w:val="single"/>
            <w:color w:val="0000FF"/>
            <w:rStyle w:val="Hyperlink"/>
          </w:rPr>
          <w:t>https://www.nvidia.com/en-us/deep-learning-ai/</w:t>
        </w:r>
      </w:hyperlink>
      <w:r>
        <w:t xml:space="preserve"> - This webpage highlights Nvidia's role in AI infrastructure, including its GPUs and CUDA software ecosystem, which are crucial for AI development and deployment.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ingeek.com/idc-guide-predicts-worldwide-ai-spending-to-reach-632-billion-by-2028/" TargetMode="External"/><Relationship Id="rId12" Type="http://schemas.openxmlformats.org/officeDocument/2006/relationships/hyperlink" Target="https://www.mi-3.com.au/20-08-2024/ai-spending-skyrocket-632bn-2028-idc-predicts" TargetMode="External"/><Relationship Id="rId13" Type="http://schemas.openxmlformats.org/officeDocument/2006/relationships/hyperlink" Target="https://uktin.net/whats-happening/news/worldwide-spending-artificial-intelligence-forecast-reach-632bn-2028-idc" TargetMode="External"/><Relationship Id="rId14" Type="http://schemas.openxmlformats.org/officeDocument/2006/relationships/hyperlink" Target="https://www.palantir.com/platforms/" TargetMode="External"/><Relationship Id="rId15" Type="http://schemas.openxmlformats.org/officeDocument/2006/relationships/hyperlink" Target="https://www.nvidia.com/en-us/deep-learning-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