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iGaming emerges as a leading force in Europe’s tech and market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iGaming industry in Europe is emerging as one of the most dynamic and fast-growing sectors, quietly transforming into a multi-billion euro engine of technological advancement and market expansion. Despite often being overshadowed by sectors like fintech, artificial intelligence, and health technology, iGaming is showing remarkable growth and innovation, particularly in the online casino space.</w:t>
      </w:r>
      <w:r/>
    </w:p>
    <w:p>
      <w:r/>
      <w:r>
        <w:t>Market Growth and Regional Variations</w:t>
      </w:r>
      <w:r/>
    </w:p>
    <w:p>
      <w:r/>
      <w:r>
        <w:t>The iGaming market is experiencing rapid growth, with projections estimating it will reach $164.85 billion in revenue by 2025. This impressive expansion is underscored by varying levels of online gambling adoption across European countries. For instance, Sweden reports that online gambling comprises approximately 68.3% of its total gambling revenue, while Finland and Denmark show similar dominance with 68.1%. In contrast, Spain's online gambling revenue accounts for only 14.2%, highlighting a diverse pace of digital migration within the continent.</w:t>
      </w:r>
      <w:r/>
    </w:p>
    <w:p>
      <w:r/>
      <w:r>
        <w:t>Europe’s overall gambling industry demonstrated significant progress in 2024, with total gross gaming revenue climbing to €123.4 billion, up from €117.5 billion in 2023. Online casinos contributed a substantial €47.9 billion, which constitutes 39% of the total market. The UK market alone illustrated this trend vividly, with online casinos reporting a gross gambling yield of £1.54 billion in the last quarter of 2024—a 21% increase compared to the same period the previous year. Industry experts attribute this rise primarily to an increase in online slot players and enhanced user engagement strategies by providers.</w:t>
      </w:r>
      <w:r/>
    </w:p>
    <w:p>
      <w:r/>
      <w:r>
        <w:t>Technological Advancements Driving Compliance and Experience</w:t>
      </w:r>
      <w:r/>
    </w:p>
    <w:p>
      <w:r/>
      <w:r>
        <w:t>Underpinning this market growth is the sophisticated technology that powers modern iGaming platforms. These systems are designed to offer faster, more secure, and more user-friendly experiences. The regulatory environment across Europe, known for varied national rules, has catalysed the development of advanced compliance technologies. Platforms now commonly employ automated Know Your Customer (KYC) systems, real-time geolocation tools, AI-powered fraud detection, and stringent age verification technologies to ensure legal and safe gambling environments.</w:t>
      </w:r>
      <w:r/>
    </w:p>
    <w:p>
      <w:r/>
      <w:r>
        <w:t>Interestingly, while some may view the regulatory demands as a challenge, they have propelled the industry to engineer more advanced technological solutions. Many tools originally developed in-house for compliance purposes have evolved into software-as-a-service (SaaS) products serving broader markets—with identity verification tools from iGaming now utilised by banks, fintech companies, and cryptocurrency platforms.</w:t>
      </w:r>
      <w:r/>
    </w:p>
    <w:p>
      <w:r/>
      <w:r>
        <w:t>Attracting Top Talent and Building Tech Hubs</w:t>
      </w:r>
      <w:r/>
    </w:p>
    <w:p>
      <w:r/>
      <w:r>
        <w:t>The iGaming sector’s technological complexity has also made it a significant contributor to Europe’s tech employment landscape. It increasingly attracts skilled professionals in software development, data science, user experience design, and cybersecurity. The promise of competitive salaries and a focus on innovation has drawn talent from fintech, SaaS, and gaming startups.</w:t>
      </w:r>
      <w:r/>
    </w:p>
    <w:p>
      <w:r/>
      <w:r>
        <w:t>Malta remains a well-established hub for iGaming, but cities like Tallinn and Stockholm are rapidly developing their own ecosystems. These cities are witnessing a return of skilled workers previously displaced due to limited opportunities, creating vibrant communities of tech workers and startup founders focused on cutting-edge technology.</w:t>
      </w:r>
      <w:r/>
    </w:p>
    <w:p>
      <w:r/>
      <w:r>
        <w:t>Future Outlook</w:t>
      </w:r>
      <w:r/>
    </w:p>
    <w:p>
      <w:r/>
      <w:r>
        <w:t>As online gambling continues to grow faster than land-based options—projected at 6.9% versus 1.8% growth rates respectively—the iGaming industry is not only expanding but also driving standards in user experience and data handling. Companies in this sector are known for rigorous testing, personalising user journeys, managing vast real-time data streams, supporting millions of transactions, and adapting seamlessly to different languages and regulatory requirements.</w:t>
      </w:r>
      <w:r/>
    </w:p>
    <w:p>
      <w:r/>
      <w:r>
        <w:t>The businesscloud.co.uk is reporting that iGaming’s trajectory positions it among Europe’s most significant, if often overlooked, innovation hotspots. The technologies developed within this sector have found applications beyond gambling, influencing broader digital economy areas and showcasing the industry's role in shaping future technological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https://www.imarcgroup.com/europe-online-gambling-market</w:t>
        </w:r>
      </w:hyperlink>
      <w:r>
        <w:t xml:space="preserve"> - This report provides insights into the European online gambling market, including its size, growth projections, and key drivers, corroborating the article's claim of rapid market expansion and technological advancement in the iGaming sector.</w:t>
      </w:r>
      <w:r/>
    </w:p>
    <w:p>
      <w:pPr>
        <w:pStyle w:val="ListNumber"/>
        <w:spacing w:line="240" w:lineRule="auto"/>
        <w:ind w:left="720"/>
      </w:pPr>
      <w:r/>
      <w:hyperlink r:id="rId11">
        <w:r>
          <w:rPr>
            <w:color w:val="0000EE"/>
            <w:u w:val="single"/>
          </w:rPr>
          <w:t>https://www.egba.eu/eu-market/</w:t>
        </w:r>
      </w:hyperlink>
      <w:r>
        <w:t xml:space="preserve"> - The European Gaming and Betting Association's data highlights the significant growth in Europe's gambling revenue, with online gambling contributing a substantial portion, supporting the article's assertion of impressive expansion in the iGaming industry.</w:t>
      </w:r>
      <w:r/>
    </w:p>
    <w:p>
      <w:pPr>
        <w:pStyle w:val="ListNumber"/>
        <w:spacing w:line="240" w:lineRule="auto"/>
        <w:ind w:left="720"/>
      </w:pPr>
      <w:r/>
      <w:hyperlink r:id="rId12">
        <w:r>
          <w:rPr>
            <w:color w:val="0000EE"/>
            <w:u w:val="single"/>
          </w:rPr>
          <w:t>https://www.statista.com/statistics/1222209/online-gambling-revenue-share-by-country-europe/</w:t>
        </w:r>
      </w:hyperlink>
      <w:r>
        <w:t xml:space="preserve"> - Statista's statistics on online gambling revenue share by country in Europe illustrate varying levels of online gambling adoption, aligning with the article's mention of diverse digital migration rates across European nations.</w:t>
      </w:r>
      <w:r/>
    </w:p>
    <w:p>
      <w:pPr>
        <w:pStyle w:val="ListNumber"/>
        <w:spacing w:line="240" w:lineRule="auto"/>
        <w:ind w:left="720"/>
      </w:pPr>
      <w:r/>
      <w:hyperlink r:id="rId13">
        <w:r>
          <w:rPr>
            <w:color w:val="0000EE"/>
            <w:u w:val="single"/>
          </w:rPr>
          <w:t>https://www.ft.com/content/66f879c6-e51c-4e9d-91ba-b15eecac45c1</w:t>
        </w:r>
      </w:hyperlink>
      <w:r>
        <w:t xml:space="preserve"> - This Financial Times article discusses the rapid growth of crypto casinos, highlighting technological advancements and market expansion in the iGaming sector, which supports the article's emphasis on innovation and growth in the industry.</w:t>
      </w:r>
      <w:r/>
    </w:p>
    <w:p>
      <w:pPr>
        <w:pStyle w:val="ListNumber"/>
        <w:spacing w:line="240" w:lineRule="auto"/>
        <w:ind w:left="720"/>
      </w:pPr>
      <w:r/>
      <w:hyperlink r:id="rId14">
        <w:r>
          <w:rPr>
            <w:color w:val="0000EE"/>
            <w:u w:val="single"/>
          </w:rPr>
          <w:t>https://www.ft.com/content/4aa127f0-1788-4515-a4b6-af5a54cc03c1</w:t>
        </w:r>
      </w:hyperlink>
      <w:r>
        <w:t xml:space="preserve"> - The Financial Times article addresses the impact of regulatory changes on UK gambling companies, reflecting the evolving regulatory environment in Europe, as mentioned in the article.</w:t>
      </w:r>
      <w:r/>
    </w:p>
    <w:p>
      <w:pPr>
        <w:pStyle w:val="ListNumber"/>
        <w:spacing w:line="240" w:lineRule="auto"/>
        <w:ind w:left="720"/>
      </w:pPr>
      <w:r/>
      <w:hyperlink r:id="rId15">
        <w:r>
          <w:rPr>
            <w:color w:val="0000EE"/>
            <w:u w:val="single"/>
          </w:rPr>
          <w:t>https://www.reuters.com/markets/europe/czech-billionaire-bets-lotteries-growth-2024-06-13/</w:t>
        </w:r>
      </w:hyperlink>
      <w:r>
        <w:t xml:space="preserve"> - This Reuters article highlights the expansion of lottery operations in Europe, underscoring the dynamic growth and technological advancements in the gambling sector, as noted in the article.</w:t>
      </w:r>
      <w:r/>
    </w:p>
    <w:p>
      <w:pPr>
        <w:pStyle w:val="ListNumber"/>
        <w:spacing w:line="240" w:lineRule="auto"/>
        <w:ind w:left="720"/>
      </w:pPr>
      <w:r/>
      <w:hyperlink r:id="rId16">
        <w:r>
          <w:rPr>
            <w:color w:val="0000EE"/>
            <w:u w:val="single"/>
          </w:rPr>
          <w:t>https://news.google.com/rss/articles/CBMioAFBVV95cUxNOHZiX0JyamNlQTB3OXltZXpaNmlpNHgzYkxEWGlNSm40bVVXU1U5S0QzWG9iMmJXeE9pOHk3bU1EZS15elp1OVYxLW92clphN0pnYTU0WFhqdURzNlZaWmxvZGE1RHlPakZ1dmtYVnc5OVBSWnduMDhlSENWX1JIa1E0cEVEWVB0Zl8wZXUyUk5FcS01bUxLNG44M0gwTzN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arcgroup.com/europe-online-gambling-market" TargetMode="External"/><Relationship Id="rId11" Type="http://schemas.openxmlformats.org/officeDocument/2006/relationships/hyperlink" Target="https://www.egba.eu/eu-market/" TargetMode="External"/><Relationship Id="rId12" Type="http://schemas.openxmlformats.org/officeDocument/2006/relationships/hyperlink" Target="https://www.statista.com/statistics/1222209/online-gambling-revenue-share-by-country-europe/" TargetMode="External"/><Relationship Id="rId13" Type="http://schemas.openxmlformats.org/officeDocument/2006/relationships/hyperlink" Target="https://www.ft.com/content/66f879c6-e51c-4e9d-91ba-b15eecac45c1" TargetMode="External"/><Relationship Id="rId14" Type="http://schemas.openxmlformats.org/officeDocument/2006/relationships/hyperlink" Target="https://www.ft.com/content/4aa127f0-1788-4515-a4b6-af5a54cc03c1" TargetMode="External"/><Relationship Id="rId15" Type="http://schemas.openxmlformats.org/officeDocument/2006/relationships/hyperlink" Target="https://www.reuters.com/markets/europe/czech-billionaire-bets-lotteries-growth-2024-06-13/" TargetMode="External"/><Relationship Id="rId16" Type="http://schemas.openxmlformats.org/officeDocument/2006/relationships/hyperlink" Target="https://news.google.com/rss/articles/CBMioAFBVV95cUxNOHZiX0JyamNlQTB3OXltZXpaNmlpNHgzYkxEWGlNSm40bVVXU1U5S0QzWG9iMmJXeE9pOHk3bU1EZS15elp1OVYxLW92clphN0pnYTU0WFhqdURzNlZaWmxvZGE1RHlPakZ1dmtYVnc5OVBSWnduMDhlSENWX1JIa1E0cEVEWVB0Zl8wZXUyUk5FcS01bUxLNG44M0gwTzN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