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Molten repurchases 66,387 shares at 368.06p VWAP under extended £15m buy‑back, voting rights fall to 179.78m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Molten Ventures plc said it bought 66,387 of its own ordinary shares on 7 August 2025, executing an on‑market repurchase through Numis Securities Limited (trading as “Deutsche Numis”). According to the company’s regulatory announcement, the purchases were made at prices between 364.00p and 372.60p per share, with a volume‑weighted average price of 368.0573p. The transactions were time‑stamped and disclosed in full as part of the firm’s compliance with market transparency rules.</w:t>
      </w:r>
      <w:r/>
    </w:p>
    <w:p>
      <w:r/>
      <w:r>
        <w:t>The trades form part of an extended share repurchase programme that Molten announced in March 2025. That programme expanded the company’s buy‑back authorisation to enable repurchases of up to £15 million, to be financed from cash resources and to continue either until that amount has been deployed or the general authority granted at the 2024 annual general meeting expires. Molten said repurchased shares will be held in treasury, a mechanism that gives the company flexibility over future use.</w:t>
      </w:r>
      <w:r/>
    </w:p>
    <w:p>
      <w:r/>
      <w:r>
        <w:t>Following the latest purchases, Molten reported an issued share capital of 189,046,450 ordinary shares, of which 9,262,165 are held in treasury, leaving total voting rights of 179,784,285. The company emphasised that shareholders may use the updated voting‑rights figure as the denominator to determine whether they must notify changes in their holdings under the UK disclosure regime.</w:t>
      </w:r>
      <w:r/>
    </w:p>
    <w:p>
      <w:r/>
      <w:r>
        <w:t>Molten published a full schedule of the individual on‑market transactions in line with the Market Abuse Regulation’s publication requirements. The detailed record of each trade — including sizes, prices and UK times — is consistent with the obligations set out under the regulation to guard against insider dealing and market manipulation and to maintain market transparency.</w:t>
      </w:r>
      <w:r/>
    </w:p>
    <w:p>
      <w:r/>
      <w:r>
        <w:t>Industry practice helps explain why the company has framed the repurchase in the way it has: Molten has stated the programme is financed from existing cash resources, and such buy‑backs are commonly used by listed firms to return surplus cash to shareholders, offset dilution from share‑based incentives, or provide support for the share price. The company’s regulatory notice also makes clear the practical consequence for shareholders: changes to the denominator used in disclosure calculations can affect whether investors cross reportable thresholds and must file notifications with the regulator.</w:t>
      </w:r>
      <w:r/>
    </w:p>
    <w:p>
      <w:r/>
      <w:r>
        <w:t>The trades were executed by Deutsche Numis acting for the issuer. Deutsche Numis describes itself as a full‑service broking and trading business for UK‑listed companies, with execution and sales trading capabilities that make it a conventional choice as an on‑market agent for buy‑backs of this type.</w:t>
      </w:r>
      <w:r/>
    </w:p>
    <w:p>
      <w:r/>
      <w:r>
        <w:t>The announcement was disseminated via EQS News Service and includes the company’s investor relations and broker contact details for further enquiries.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https://www.tradingview.com/news/eqs:287a0bc9a094b:0-transaction-in-own-shares/</w:t>
        </w:r>
      </w:hyperlink>
      <w:r>
        <w:t xml:space="preserve"> - Please view link - unable to able to access data</w:t>
      </w:r>
      <w:r/>
    </w:p>
    <w:p>
      <w:pPr>
        <w:pStyle w:val="ListNumber"/>
        <w:spacing w:line="240" w:lineRule="auto"/>
        <w:ind w:left="720"/>
      </w:pPr>
      <w:r/>
      <w:hyperlink r:id="rId9">
        <w:r>
          <w:rPr>
            <w:color w:val="0000EE"/>
            <w:u w:val="single"/>
          </w:rPr>
          <w:t>https://www.tradingview.com/news/eqs:287a0bc9a094b:0-transaction-in-own-shares/</w:t>
        </w:r>
      </w:hyperlink>
      <w:r>
        <w:t xml:space="preserve"> - TradingView republishes an EQS regulatory announcement from Molten Ventures plc dated 08 August 2025 reporting an on‑market purchase of 66,387 ordinary shares executed on 7 August 2025 by Numis Securities Limited (trading as Deutsche Numis) under the company’s share repurchase programme. The notice records the highest and lowest prices during the trades, a volume‑weighted average price of 368.0573p, and post‑transaction figures for issued share capital, treasury shares and total voting rights. It also presents a time‑stamped schedule of individual transactions and notes compliance with the Market Abuse Regulation and Disclosure Guidance and Transparency Rules. Investors may use these figures directly.</w:t>
      </w:r>
      <w:r/>
    </w:p>
    <w:p>
      <w:pPr>
        <w:pStyle w:val="ListNumber"/>
        <w:spacing w:line="240" w:lineRule="auto"/>
        <w:ind w:left="720"/>
      </w:pPr>
      <w:r/>
      <w:hyperlink r:id="rId12">
        <w:r>
          <w:rPr>
            <w:color w:val="0000EE"/>
            <w:u w:val="single"/>
          </w:rPr>
          <w:t>https://www.investegate.co.uk/announcement/eqs/molten-ventures--grow/commencement-of-extended-share-repurchase-pro-/8777019</w:t>
        </w:r>
      </w:hyperlink>
      <w:r>
        <w:t xml:space="preserve"> - Investegate posts Molten Ventures plc’s regulatory announcement of 13 March 2025 confirming commencement of an extended share repurchase programme of up to £15 million. The release explains the programme expands previously stated buy‑back intentions, will be financed from cash resources, and will operate until reaching the intended purchase amount or expiry of the general authority from the 2024 AGM. Molten states purchased ordinary shares will be held in treasury and that Numis Securities Limited (trading as Deutsche Numis) will execute purchases. The announcement reiterates compliance with the Market Abuse Regulation and provides issued capital and treasury figures thereby to investors.</w:t>
      </w:r>
      <w:r/>
    </w:p>
    <w:p>
      <w:pPr>
        <w:pStyle w:val="ListNumber"/>
        <w:spacing w:line="240" w:lineRule="auto"/>
        <w:ind w:left="720"/>
      </w:pPr>
      <w:r/>
      <w:hyperlink r:id="rId10">
        <w:r>
          <w:rPr>
            <w:color w:val="0000EE"/>
            <w:u w:val="single"/>
          </w:rPr>
          <w:t>https://www.finanznachrichten.de/nachrichten-2025-08/66127206-molten-ventures-plc-transaction-in-own-shares-2-015.htm</w:t>
        </w:r>
      </w:hyperlink>
      <w:r>
        <w:t xml:space="preserve"> - Finanznachrichten republishes Molten Ventures plc’s EQS regulatory announcement dated 07 August 2025 detailing a transaction in own shares undertaken on 7 August 2025. It records the purchase of 66,387 ordinary shares by Numis Securities Limited (trading as Deutsche Numis), the highest and lowest prices paid, and a volume‑weighted average price of 368.0573p. The article lists individual time‑stamped trades, and notes the company’s post‑transaction issued share capital, treasury holdings and total voting rights. It reiterates that the information may be used by shareholders as the denominator for Disclosure Guidance and Transparency Rules calculations and confirms dissemination via EQS News Service promptly.</w:t>
      </w:r>
      <w:r/>
    </w:p>
    <w:p>
      <w:pPr>
        <w:pStyle w:val="ListNumber"/>
        <w:spacing w:line="240" w:lineRule="auto"/>
        <w:ind w:left="720"/>
      </w:pPr>
      <w:r/>
      <w:hyperlink r:id="rId11">
        <w:r>
          <w:rPr>
            <w:color w:val="0000EE"/>
            <w:u w:val="single"/>
          </w:rPr>
          <w:t>https://dbnumis.db.com/</w:t>
        </w:r>
      </w:hyperlink>
      <w:r>
        <w:t xml:space="preserve"> - Deutsche Numis is the corporate broking and equity trading business formed after Deutsche Bank’s acquisition of Numis; the firm presents itself as a full‑service investment banking partner for UK listed companies. The website describes services including corporate broking, equity capital markets, mergers and acquisitions, sales and execution, trading and sales trading, research, and investment companies coverage. It highlights market presence, client reach across mid and large‑cap companies, and a trading desk capable of executing on‑market transactions for clients. The site positions Deutsche Numis as the execution and advisory arm that would act for issuers conducting share repurchases or market operations.</w:t>
      </w:r>
      <w:r/>
    </w:p>
    <w:p>
      <w:pPr>
        <w:pStyle w:val="ListNumber"/>
        <w:spacing w:line="240" w:lineRule="auto"/>
        <w:ind w:left="720"/>
      </w:pPr>
      <w:r/>
      <w:hyperlink r:id="rId14">
        <w:r>
          <w:rPr>
            <w:color w:val="0000EE"/>
            <w:u w:val="single"/>
          </w:rPr>
          <w:t>https://eur-lex.europa.eu/eli/reg/2014/596</w:t>
        </w:r>
      </w:hyperlink>
      <w:r>
        <w:t xml:space="preserve"> - The EUR‑Lex page provides the consolidated text of Regulation (EU) No 596/2014, the Market Abuse Regulation (MAR), which establishes EU‑wide rules to prevent insider dealing, unlawful disclosure of inside information and market manipulation. The regulation sets reporting and conduct obligations for issuers, trading venues and investment firms, including Article 5(1)(b) on publication and reporting requirements for transactions and orders. MAR requires transparency around transactions that could mislead investors and mandates arrangements to prevent market abuse. Issuers and intermediaries must follow MAR when conducting buy‑backs; regulatory announcements commonly cite MAR when disclosing on‑market purchases to ensure legal compliance throughout the EU.</w:t>
      </w:r>
      <w:r/>
    </w:p>
    <w:p>
      <w:pPr>
        <w:pStyle w:val="ListNumber"/>
        <w:spacing w:line="240" w:lineRule="auto"/>
        <w:ind w:left="720"/>
      </w:pPr>
      <w:r/>
      <w:hyperlink r:id="rId13">
        <w:r>
          <w:rPr>
            <w:color w:val="0000EE"/>
            <w:u w:val="single"/>
          </w:rPr>
          <w:t>https://www.fca.org.uk/markets/primary-markets/regulatory-disclosures/shareholding-notification-disclosure</w:t>
        </w:r>
      </w:hyperlink>
      <w:r>
        <w:t xml:space="preserve"> - The Financial Conduct Authority’s guidance on shareholding notification and disclosure explains the Disclosure Guidance and Transparency Rules (DTR) framework for notifying changes in voting rights and major shareholdings. The page outlines DTR 5 requirements, how to submit TR‑1 notifications via the FCA’s Electronic Submission System, thresholds triggering disclosure, and exemptions such as trading book activities. It confirms that issuers publish total voting rights figures which shareholders may use as the denominator when assessing notification obligations. The guidance includes practical instructions, links to forms and user guides, and advises market participants on transparency responsibilities under UK rules derived from EU directives.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dingview.com/news/eqs:287a0bc9a094b:0-transaction-in-own-shares/" TargetMode="External"/><Relationship Id="rId10" Type="http://schemas.openxmlformats.org/officeDocument/2006/relationships/hyperlink" Target="https://www.finanznachrichten.de/nachrichten-2025-08/66127206-molten-ventures-plc-transaction-in-own-shares-2-015.htm" TargetMode="External"/><Relationship Id="rId11" Type="http://schemas.openxmlformats.org/officeDocument/2006/relationships/hyperlink" Target="https://dbnumis.db.com/" TargetMode="External"/><Relationship Id="rId12" Type="http://schemas.openxmlformats.org/officeDocument/2006/relationships/hyperlink" Target="https://www.investegate.co.uk/announcement/eqs/molten-ventures--grow/commencement-of-extended-share-repurchase-pro-/8777019" TargetMode="External"/><Relationship Id="rId13" Type="http://schemas.openxmlformats.org/officeDocument/2006/relationships/hyperlink" Target="https://www.fca.org.uk/markets/primary-markets/regulatory-disclosures/shareholding-notification-disclosure" TargetMode="External"/><Relationship Id="rId14" Type="http://schemas.openxmlformats.org/officeDocument/2006/relationships/hyperlink" Target="https://eur-lex.europa.eu/eli/reg/2014/59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