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Thomas Lee leverages legal challenges and governance strategies to mitigate political risks in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evolving nexus of corporate governance and political influence, Thomas Lee’s recent activities provide a revealing example of how corporate political connections (CPCs) can profoundly affect investment risk and returns. Over the last year, Lee has been at the forefront of two main arenas: legally challenging the U.S. Corporate Transparency Act (CTA) and fostering governance-driven investment strategies through his collaborations with prominent private equity firm THL Partners. These efforts collectively offer strategic lessons for investors navigating today’s politicised business environment.</w:t>
      </w:r>
      <w:r/>
    </w:p>
    <w:p>
      <w:r/>
      <w:r>
        <w:t>A central piece of Lee's recent work is his legal advocacy against the CTA, a 2021 regulation mandating the disclosure of beneficial ownership information to combat financial crime and money laundering. Representing the National Small Business United (NSBU), Lee contests this act as an overreach of federal authority that threatens to invade privacy and impose excessive burdens, particularly on small businesses. In March 2024, a federal court in Alabama ruled the CTA unconstitutional, agreeing that it exceeded Congress’s powers and baulked at the burdensome reporting demands placed on smaller entities. Although the Justice Department has appealed this ruling and delayed reporting deadlines to 2025, the case remains a critical test of how CPCs influence perceptions of regulatory risk.</w:t>
      </w:r>
      <w:r/>
    </w:p>
    <w:p>
      <w:r/>
      <w:r>
        <w:t>This legal uncertainty has significant implications for corporate governance and investor confidence. According to Lee’s analysis, jurisdictions with clear, enforceable transparency frameworks tend to see lower governance risk. For example, the Canadian province of Quebec’s Act Respecting the Legal Publicity of Enterprises (ARLPE) offers a model where stringent disclosure rules foster greater accountability. In contrast, common-law systems like that of the U.S. struggle with ambiguity, sometimes allowing opaque practices that contributed to past corporate collapses. Lee’s challenge reflects a broader global tension—asserted by reforms in countries such as Thailand and India—between the need for transparency and the risk that overbroad regulatory regimes might undermine trust.</w:t>
      </w:r>
      <w:r/>
    </w:p>
    <w:p>
      <w:r/>
      <w:r>
        <w:t>Parallel to his legal efforts, Lee’s strategic partnership with THL Partners, a private equity firm managing over $50 billion in capital, exemplifies the proactive use of CPCs to mitigate investment risks. THL's recent acquisitions—such as the clinical trial network Headlands Research and a majority stake in semiconductor software company AMI valued at $600 million—demonstrate a clear emphasis on sectors vulnerable to regulatory and technological shifts. These investments prioritise robust governance frameworks and compliance infrastructures. THL also integrates AI-driven governance tools to enhance transparency and operational resilience within portfolio companies, reflecting Lee’s 2024 research linking politically diverse leadership on audit committees to a 20% reduction in financial misstatements.</w:t>
      </w:r>
      <w:r/>
    </w:p>
    <w:p>
      <w:r/>
      <w:r>
        <w:t>The broader ESG (Environmental, Social, and Governance) landscape illustrates the challenges and opportunities in aligning governance with transparency. A recent study of S&amp;P 500 firms found little correlation between ESG scores and risk-adjusted returns, underscoring the pitfalls of relying solely on self-reported ESG data. Lee advocates for civil law-style transparency with independent third-party audits akin to Quebec’s approach, an ethos embraced by certain THL portfolio companies like YA Group, which specialises in forensic consultancy. This insistence on verifiable governance standards aligns with international legislative trends, including the European Union’s Corporate Sustainability Reporting Directive (CSRD).</w:t>
      </w:r>
      <w:r/>
    </w:p>
    <w:p>
      <w:r/>
      <w:r>
        <w:t>For investors, Lee’s combined legal and investment strategies provide clear strategic implications: prioritise investments in jurisdictions with enforceable disclosure laws; support firms employing advanced AI for real-time compliance and risk management; favour companies with ideologically diverse leadership; and avoid overreliance on ESG ratings without third-party validation. These insights highlight that transparency and accountability are not merely ethical considerations but fundamental to building resilient and value-creating portfolios in today’s politically charged environment.</w:t>
      </w:r>
      <w:r/>
    </w:p>
    <w:p>
      <w:r/>
      <w:r>
        <w:t>Ultimately, Thomas Lee’s work transforms the view of corporate political connections from a risk factor into a potential catalyst for strategic advantage. By challenging regulatory overreach and advocating governance frameworks anchored in transparency, his efforts suggest that the future of investing lies in harnessing CPCs for long-term value creation rather than merely managing them as hazards.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https://www.ainvest.com/news/corporate-political-connections-investment-risk-lessons-thomas-lee-strategic-alliances-2509-12/</w:t>
        </w:r>
      </w:hyperlink>
      <w:r>
        <w:t xml:space="preserve"> - Please view link - unable to able to access data</w:t>
      </w:r>
      <w:r/>
    </w:p>
    <w:p>
      <w:pPr>
        <w:pStyle w:val="ListNumber"/>
        <w:spacing w:line="240" w:lineRule="auto"/>
        <w:ind w:left="720"/>
      </w:pPr>
      <w:r/>
      <w:hyperlink r:id="rId11">
        <w:r>
          <w:rPr>
            <w:color w:val="0000EE"/>
            <w:u w:val="single"/>
          </w:rPr>
          <w:t>https://www.americanbanker.com/news/federal-court-rules-corporate-transparency-act-unconstitutional</w:t>
        </w:r>
      </w:hyperlink>
      <w:r>
        <w:t xml:space="preserve"> - In March 2024, a federal court in Alabama ruled the Corporate Transparency Act (CTA) unconstitutional, stating it exceeded Congress's powers. The National Small Business Association (NSBA) challenged the CTA, arguing it imposed burdensome reporting requirements on small businesses. The Justice Department appealed the decision, and reporting deadlines were postponed to January 1, 2025, for existing businesses, with new businesses after January 1 given 90 days to comply. Todd McCraken, president and CEO of the NSBA, stated that the ruling supports concerns about the CTA's bureaucratic and constitutional issues.</w:t>
      </w:r>
      <w:r/>
    </w:p>
    <w:p>
      <w:pPr>
        <w:pStyle w:val="ListNumber"/>
        <w:spacing w:line="240" w:lineRule="auto"/>
        <w:ind w:left="720"/>
      </w:pPr>
      <w:r/>
      <w:hyperlink r:id="rId13">
        <w:r>
          <w:rPr>
            <w:color w:val="0000EE"/>
            <w:u w:val="single"/>
          </w:rPr>
          <w:t>https://www.reuters.com/technology/thl-partners-buy-majority-stake-semiconductor-software-firm-ami-2024-09-09/</w:t>
        </w:r>
      </w:hyperlink>
      <w:r>
        <w:t xml:space="preserve"> - In September 2024, private equity firm THL Partners agreed to acquire a majority stake in semiconductor software provider AMI, valuing the company at approximately $600 million. The transaction was expected to close in the fall. AMI, based in Atlanta, Georgia, specializes in software for embedded devices, servers, and data centers, serving major clients like Intel, Nvidia, Microsoft, and Qualcomm. This investment aligns with the growing demand for AI infrastructure driven by advancements in artificial intelligence and data center technology.</w:t>
      </w:r>
      <w:r/>
    </w:p>
    <w:p>
      <w:pPr>
        <w:pStyle w:val="ListNumber"/>
        <w:spacing w:line="240" w:lineRule="auto"/>
        <w:ind w:left="720"/>
      </w:pPr>
      <w:r/>
      <w:hyperlink r:id="rId10">
        <w:r>
          <w:rPr>
            <w:color w:val="0000EE"/>
            <w:u w:val="single"/>
          </w:rPr>
          <w:t>https://www.ainvest.com/news/legal-regimes-corporate-transparency-thomas-lee-challenge-cta-global-implications-2508/</w:t>
        </w:r>
      </w:hyperlink>
      <w:r>
        <w:t xml:space="preserve"> - Thomas Lee's challenge to the Corporate Transparency Act (CTA) highlights a broader tension between regulatory oversight and investor confidence. Transparency is a cornerstone of trust in corporate governance, but overly broad mandates can create uncertainty and erode confidence. This is evident in global markets, where countries with robust legal frameworks for corporate disclosure—such as Thailand, Malaysia, and India—have seen higher investor participation. For example, Thailand's progressive corporate governance reforms, including the 2012 update to its 'Principle of Good Corporate Governance,' have aligned with global standards and boosted transparency in non-financial disclosures.</w:t>
      </w:r>
      <w:r/>
    </w:p>
    <w:p>
      <w:pPr>
        <w:pStyle w:val="ListNumber"/>
        <w:spacing w:line="240" w:lineRule="auto"/>
        <w:ind w:left="720"/>
      </w:pPr>
      <w:r/>
      <w:hyperlink r:id="rId12">
        <w:r>
          <w:rPr>
            <w:color w:val="0000EE"/>
            <w:u w:val="single"/>
          </w:rPr>
          <w:t>https://www.accountingtoday.com/news/federal-court-rules-corporate-transparency-act-unconstitutional</w:t>
        </w:r>
      </w:hyperlink>
      <w:r>
        <w:t xml:space="preserve"> - In March 2024, a federal court in Alabama ruled the Corporate Transparency Act (CTA) unconstitutional, stating it exceeded Congress's powers. The National Small Business Association (NSBA) challenged the CTA, arguing it imposed burdensome reporting requirements on small businesses. The Justice Department appealed the decision, and reporting deadlines were postponed to January 1, 2025, for existing businesses, with new businesses after January 1 given 90 days to comply. Todd McCraken, president and CEO of the NSBA, stated that the ruling supports concerns about the CTA's bureaucratic and constitutional issues.</w:t>
      </w:r>
      <w:r/>
    </w:p>
    <w:p>
      <w:pPr>
        <w:pStyle w:val="ListNumber"/>
        <w:spacing w:line="240" w:lineRule="auto"/>
        <w:ind w:left="720"/>
      </w:pPr>
      <w:r/>
      <w:hyperlink r:id="rId14">
        <w:r>
          <w:rPr>
            <w:color w:val="0000EE"/>
            <w:u w:val="single"/>
          </w:rPr>
          <w:t>https://thl.com/articles/thomas-h-lee-partners-closes-5-6-billion-flagship-private-equity-fund/</w:t>
        </w:r>
      </w:hyperlink>
      <w:r>
        <w:t xml:space="preserve"> - In October 2021, Thomas H. Lee Partners (THL) announced the successful final close of its ninth flagship fund, Thomas H. Lee Equity Fund IX, at its hard cap with $5.6 billion in capital commitments. Fund IX received strong demand from investors and over $250 million of General Partner commitments. A global and diverse group of new and existing limited partners have committed capital to Fund IX, including leading public and private pension funds, sovereign wealth funds, banks, insurance companies, endowments, foundations, family offices, and high-net-worth individuals.</w:t>
      </w:r>
      <w:r/>
    </w:p>
    <w:p>
      <w:pPr>
        <w:pStyle w:val="ListNumber"/>
        <w:spacing w:line="240" w:lineRule="auto"/>
        <w:ind w:left="720"/>
      </w:pPr>
      <w:r/>
      <w:hyperlink r:id="rId10">
        <w:r>
          <w:rPr>
            <w:color w:val="0000EE"/>
            <w:u w:val="single"/>
          </w:rPr>
          <w:t>https://www.ainvest.com/news/legal-regimes-corporate-transparency-thomas-lee-challenge-cta-global-implications-2508/</w:t>
        </w:r>
      </w:hyperlink>
      <w:r>
        <w:t xml:space="preserve"> - Thomas Lee's challenge to the Corporate Transparency Act (CTA) highlights a broader tension between regulatory oversight and investor confidence. Transparency is a cornerstone of trust in corporate governance, but overly broad mandates can create uncertainty and erode confidence. This is evident in global markets, where countries with robust legal frameworks for corporate disclosure—such as Thailand, Malaysia, and India—have seen higher investor participation. For example, Thailand's progressive corporate governance reforms, including the 2012 update to its 'Principle of Good Corporate Governance,' have aligned with global standards and boosted transparency in non-financial disclosures.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corporate-political-connections-investment-risk-lessons-thomas-lee-strategic-alliances-2509-12/" TargetMode="External"/><Relationship Id="rId10" Type="http://schemas.openxmlformats.org/officeDocument/2006/relationships/hyperlink" Target="https://www.ainvest.com/news/legal-regimes-corporate-transparency-thomas-lee-challenge-cta-global-implications-2508/" TargetMode="External"/><Relationship Id="rId11" Type="http://schemas.openxmlformats.org/officeDocument/2006/relationships/hyperlink" Target="https://www.americanbanker.com/news/federal-court-rules-corporate-transparency-act-unconstitutional" TargetMode="External"/><Relationship Id="rId12" Type="http://schemas.openxmlformats.org/officeDocument/2006/relationships/hyperlink" Target="https://www.accountingtoday.com/news/federal-court-rules-corporate-transparency-act-unconstitutional" TargetMode="External"/><Relationship Id="rId13" Type="http://schemas.openxmlformats.org/officeDocument/2006/relationships/hyperlink" Target="https://www.reuters.com/technology/thl-partners-buy-majority-stake-semiconductor-software-firm-ami-2024-09-09/" TargetMode="External"/><Relationship Id="rId14" Type="http://schemas.openxmlformats.org/officeDocument/2006/relationships/hyperlink" Target="https://thl.com/articles/thomas-h-lee-partners-closes-5-6-billion-flagship-private-equity-fu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