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higher education by accelerating research and personalised learning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decade, artificial intelligence (AI) has evolved from a niche technology largely associated with video games to a transformative force in higher education. Universities worldwide are increasingly deploying AI technologies to revolutionize academic research and learning methodologies, reshaping the landscape of knowledge creation and dissemination. While AI's full potential in daily life remains on the horizon, its profound impact on academia is already clear, offering significant benefits alongside emerging challenges.</w:t>
      </w:r>
      <w:r/>
    </w:p>
    <w:p>
      <w:r/>
      <w:r>
        <w:t>Central to AI’s influence in higher education is its ability to enhance research productivity and efficiency. Historically, university research has been a slow, methodical process often limited by the time and resources available for data collection and analysis. AI tools now automate these laborious tasks, employing advanced Natural Language Processing (NLP) to sift through vast volumes of literature and complex datasets. Platforms such as Elicit, SciSpace, and Jenni enable researchers to quickly identify relevant content, allowing them to focus on critical analytical thinking and hypothesis development. This acceleration of research workflows fosters a more dynamic environment conducive to rapid scientific advancement.</w:t>
      </w:r>
      <w:r/>
    </w:p>
    <w:p>
      <w:r/>
      <w:r>
        <w:t>A notable transformation in research methodology is the adoption of AI-driven "shotgun approaches" to hypothesis testing. Rather than painstakingly selecting and testing a handful of hypotheses, AI algorithms generate and evaluate multiple hypotheses simultaneously. This strategy has opened avenues for exploring previously neglected research areas, particularly in fields with complex interdependencies such as climate science, economics, genomics, and drug discovery. Early successes include uncovering new biological insights and potential therapeutic pathways, demonstrating AI's capacity to drive groundbreaking discoveries. Furthermore, AI-powered data analysis and visualisation tools are enabling researchers to identify intricate patterns and relationships within data, a boon for materials science, psychology, and business research.</w:t>
      </w:r>
      <w:r/>
    </w:p>
    <w:p>
      <w:r/>
      <w:r>
        <w:t>However, alongside these advances, the academic community is grappling with ethical concerns. The risk of students submitting AI-generated work as their own raises questions about academic integrity and authorship. The inconsistency and occasional inaccuracies or "hallucinations" in AI outputs underscore the necessity for critical oversight. Educators emphasise the importance of maintaining human judgement and creativity, advocating for responsible AI use policies that position AI as a collaborative partner, not a substitute for original thought.</w:t>
      </w:r>
      <w:r/>
    </w:p>
    <w:p>
      <w:r/>
      <w:r>
        <w:t>Several leading institutions are actively engaging with these challenges and opportunities. For instance, Duke University has launched a pilot project providing students free access to ChatGPT-4o and introduced "DukeGPT," a university-operated AI tool designed to offer private and secure educational assistance. Alongside, the Provost’s Initiative aims to assess AI's impact on academic integrity and learning, with recommendations expected by late 2025. Faculty attitudes at Duke vary, with some encouraging cautious integration of AI to enhance learning, while others urge restrictions to preserve critical thinking and personal expression.</w:t>
      </w:r>
      <w:r/>
    </w:p>
    <w:p>
      <w:r/>
      <w:r>
        <w:t>Moreover, AI’s role in education extends beyond research into accelerating the speed of student learning. A study at IU International University of Applied Sciences examined the effects of the AI teaching assistant Syntea on distance learners across 40 courses. Results showed a 27% reduction in study time within three months, indicating generative AI’s potential for personalised and more efficient learning. Similarly, American University’s business school is integrating AI across its curriculum via a newly established Institute for Applied Artificial Intelligence, highlighting a broader trend to embed AI literacy and skills beyond STEM fields. This initiative aims to equip students with competencies to leverage AI in practical business applications, despite concerns over reducing foundational learning through overreliance.</w:t>
      </w:r>
      <w:r/>
    </w:p>
    <w:p>
      <w:r/>
      <w:r>
        <w:t>On the research front, industry players like Google are contributing significantly. Alphabet recently pledged $1 billion over three years to support AI training and resources for more than 100 US universities and nonprofits, aiming to boost AI education nationwide. Additionally, Google has developed an AI "co-scientist" laboratory assistant to accelerate biomedical research by identifying knowledge gaps and suggesting innovative approaches. Collaborations with leading institutions such as Stanford and Imperial College London have validated the AI's potential in generating hypotheses and actionable insights, including discoveries related to antimicrobial resistance and drug repurposing.</w:t>
      </w:r>
      <w:r/>
    </w:p>
    <w:p>
      <w:r/>
      <w:r>
        <w:t>Collectively, these developments underscore a paradigm shift in higher education driven by AI. While the technology promises greater research productivity, personalised learning, and new scientific breakthroughs, it also demands a careful balance to safeguard academic integrity and nurture critical human skills. As universities navigate this evolving landscape, the focus remains on harnessing AI responsibly to complement, rather than replace, human intellect and creativity.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[2]</w:t>
        </w:r>
      </w:hyperlink>
      <w:r>
        <w:t xml:space="preserve">, </w:t>
      </w:r>
      <w:hyperlink r:id="rId14">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https://observervoice.com/ai-transforming-university-research-discover-the-impact-143939/</w:t>
        </w:r>
      </w:hyperlink>
      <w:r>
        <w:t xml:space="preserve"> - Please view link - unable to able to access data</w:t>
      </w:r>
      <w:r/>
    </w:p>
    <w:p>
      <w:pPr>
        <w:pStyle w:val="ListNumber"/>
        <w:spacing w:line="240" w:lineRule="auto"/>
        <w:ind w:left="720"/>
      </w:pPr>
      <w:r/>
      <w:hyperlink r:id="rId12">
        <w:r>
          <w:rPr>
            <w:color w:val="0000EE"/>
            <w:u w:val="single"/>
          </w:rPr>
          <w:t>https://apnews.com/article/e0037fe9d6731010894bb6d4b52f9665</w:t>
        </w:r>
      </w:hyperlink>
      <w:r>
        <w:t xml:space="preserve"> - Duke University has initiated a pilot project in collaboration with OpenAI to study the effects of generative AI, such as ChatGPT, on academic life. Starting June 2, 2025, all undergraduate and professional school members at Duke received free access to ChatGPT-4o, alongside the launch of 'DukeGPT,' a university-run AI tool providing private and secure access to educational resources. The university also introduced the Provost’s Initiative, aimed at evaluating AI's academic implications and providing recommendations by the end of the fall 2025 semester. Faculty responses to AI vary, with some promoting cautious AI use to enhance learning, while others urge restriction, fearing reduced critical thinking and self-expression. Students expressed appreciation for AI's support in structuring tasks and clarifying complex concepts but acknowledged risks of overreliance. The consensus emphasizes student responsibility in using AI as a learning enhancement, not a crutch. The broader debate focuses on balancing AI’s utility with preserving intellectual integrity and self-discovery in the academic journey.</w:t>
      </w:r>
      <w:r/>
    </w:p>
    <w:p>
      <w:pPr>
        <w:pStyle w:val="ListNumber"/>
        <w:spacing w:line="240" w:lineRule="auto"/>
        <w:ind w:left="720"/>
      </w:pPr>
      <w:r/>
      <w:hyperlink r:id="rId14">
        <w:r>
          <w:rPr>
            <w:color w:val="0000EE"/>
            <w:u w:val="single"/>
          </w:rPr>
          <w:t>https://www.reuters.com/world/us/google-commits-1-billion-ai-training-us-universities-2025-08-06/</w:t>
        </w:r>
      </w:hyperlink>
      <w:r>
        <w:t xml:space="preserve"> - Alphabet's Google on Wednesday announced a three-year, $1 billion commitment to provide artificial intelligence training and tools to U.S. higher education institutions and nonprofits. More than 100 universities have signed on to the initiative so far, including some of the nation's largest public university systems such as ... . Participating schools may receive cash funding ... . The billion-dollar figure also includes the ... . Google hopes to expand the program to ... .</w:t>
      </w:r>
      <w:r/>
    </w:p>
    <w:p>
      <w:pPr>
        <w:pStyle w:val="ListNumber"/>
        <w:spacing w:line="240" w:lineRule="auto"/>
        <w:ind w:left="720"/>
      </w:pPr>
      <w:r/>
      <w:hyperlink r:id="rId10">
        <w:r>
          <w:rPr>
            <w:color w:val="0000EE"/>
            <w:u w:val="single"/>
          </w:rPr>
          <w:t>https://arxiv.org/abs/2403.14642</w:t>
        </w:r>
      </w:hyperlink>
      <w:r>
        <w:t xml:space="preserve"> - Generative AI is expected to have a vast, positive impact on education; however, at present, this potential has not yet been demonstrated at scale at university level. In this study, we present first evidence that generative AI can increase the speed of learning substantially in university students. We tested whether using the AI-powered teaching assistant Syntea affected the speed of learning of hundreds of distance learning students across more than 40 courses at the IU International University of Applied Sciences. Our analysis suggests that using Syntea reduced their study time substantially—by about 27% on average—in the third month after the release of Syntea. Taken together, the magnitude of the effect and the scalability of the approach implicate generative AI as a key lever to significantly improve and accelerate learning by personalisation.</w:t>
      </w:r>
      <w:r/>
    </w:p>
    <w:p>
      <w:pPr>
        <w:pStyle w:val="ListNumber"/>
        <w:spacing w:line="240" w:lineRule="auto"/>
        <w:ind w:left="720"/>
      </w:pPr>
      <w:r/>
      <w:hyperlink r:id="rId13">
        <w:r>
          <w:rPr>
            <w:color w:val="0000EE"/>
            <w:u w:val="single"/>
          </w:rPr>
          <w:t>https://www.axios.com/2025/04/03/generative-ai-business-school-students</w:t>
        </w:r>
      </w:hyperlink>
      <w:r>
        <w:t xml:space="preserve"> - American University's business school is establishing an Institute for Applied Artificial Intelligence to integrate AI across its curriculum. This initiative, exclusive to Axios, reflects a broader shift in higher education where AI, traditionally confined to STEM disciplines like computer science, is increasingly being adopted by business schools. The institute aims to prepare both undergraduate and graduate students to utilize AI in various professional tasks such as consumer research, marketing, financial analysis, and investment underwriting. While some educational institutions continue to restrict generative AI tools like ChatGPT, American University is embracing them to bolster student competencies. However, there are concerns that reliance on AI for basic tasks might hinder students from developing foundational skills and confidence through hands-on experiences. Nonetheless, the university sees AI proficiency as essential for future business leaders and is committed to becoming a leader in AI education.</w:t>
      </w:r>
      <w:r/>
    </w:p>
    <w:p>
      <w:pPr>
        <w:pStyle w:val="ListNumber"/>
        <w:spacing w:line="240" w:lineRule="auto"/>
        <w:ind w:left="720"/>
      </w:pPr>
      <w:r/>
      <w:hyperlink r:id="rId11">
        <w:r>
          <w:rPr>
            <w:color w:val="0000EE"/>
            <w:u w:val="single"/>
          </w:rPr>
          <w:t>https://www.ft.com/content/6e53cc55-9031-4ba4-9e7c-e5e9c02b3203</w:t>
        </w:r>
      </w:hyperlink>
      <w:r>
        <w:t xml:space="preserve"> - Google has developed an AI laboratory assistant known as a 'co-scientist' to accelerate biomedical research. This tool helps scientists identify gaps in their knowledge and propose new ideas, potentially revolutionizing the pace of scientific discovery. Initial trials with experts from prestigious institutions like Stanford and Imperial College London have shown the AI's ability to generate hypotheses and conclusions that align with recent breakthroughs. For instance, it identified a novel gene transfer mechanism for antimicrobial resistance and suggested drug repurposing for liver fibrosis. The AI works by using several specialized agents to generate, reflect, and review scientific ideas, retrieving information from publicly available papers and databases. This innovation highlights the potential of AI tools to transform research across industries, helping scientists keep pace with the ever-increasing volume of data in their fields.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bservervoice.com/ai-transforming-university-research-discover-the-impact-143939/" TargetMode="External"/><Relationship Id="rId10" Type="http://schemas.openxmlformats.org/officeDocument/2006/relationships/hyperlink" Target="https://arxiv.org/abs/2403.14642" TargetMode="External"/><Relationship Id="rId11" Type="http://schemas.openxmlformats.org/officeDocument/2006/relationships/hyperlink" Target="https://www.ft.com/content/6e53cc55-9031-4ba4-9e7c-e5e9c02b3203" TargetMode="External"/><Relationship Id="rId12" Type="http://schemas.openxmlformats.org/officeDocument/2006/relationships/hyperlink" Target="https://apnews.com/article/e0037fe9d6731010894bb6d4b52f9665" TargetMode="External"/><Relationship Id="rId13" Type="http://schemas.openxmlformats.org/officeDocument/2006/relationships/hyperlink" Target="https://www.axios.com/2025/04/03/generative-ai-business-school-students" TargetMode="External"/><Relationship Id="rId14" Type="http://schemas.openxmlformats.org/officeDocument/2006/relationships/hyperlink" Target="https://www.reuters.com/world/us/google-commits-1-billion-ai-training-us-universities-2025-08-0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