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AI Research unveils advanced EXAONE Business Intelligence for global financial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LG AI Research, the artificial intelligence division of LG Group, has recently unveiled a cutting-edge financial agent called EXAONE Business Intelligence (BI) in collaboration with the London Stock Exchange Group (LSEG). This advanced agent is designed to autonomously generate high-quality financial reports by integrating and analysing vast datasets to make precise market forecasts. The launch event, held in London, marked a significant milestone in demonstrating South Korea's growing prowess in AI-driven financial technology.</w:t>
      </w:r>
      <w:r/>
    </w:p>
    <w:p>
      <w:r/>
      <w:r>
        <w:t>Unlike existing financial AI tools that often serve as auxiliary summarisation aids or exhibit limited accuracy, EXAONE BI offers a comprehensive, highly accurate analytics suite that responds to the increasing demand for sophisticated financial data amid volatile markets. The system comprises four specialized AI agents, each fulfilling a distinct role—as journalist, economist, analyst, and decision maker—working collaboratively to produce in-depth financial analyses. According to LG AI Research, this multi-agent structure aims to deliver reliable insights that support data-driven decision-making processes in dynamic financial environments.</w:t>
      </w:r>
      <w:r/>
    </w:p>
    <w:p>
      <w:r/>
      <w:r>
        <w:t>EXAONE BI emerges as part of a broader AI ecosystem developed by LG AI Research, building on their hyperscale AI engine, Exaone, which supports large-scale data processing tasks such as language comprehension and image recognition across various sectors. This platform underpins initiatives like the EXAONE Universe, a super-large language model-based service tailored for business applications, facilitating tasks including Q&amp;A, dialogue interaction, text categorisation, and translation. The development of EXAONE BI reflects LG’s strategic focus on leveraging advanced AI architectures to serve diverse industry needs, including finance.</w:t>
      </w:r>
      <w:r/>
    </w:p>
    <w:p>
      <w:r/>
      <w:r>
        <w:t>The collaboration with LSEG not only advances financial analytics capabilities but also illustrates LG AI Research's expanding global partnerships. The research centre maintains a broad alliance network encompassing domestic and international organisations such as Google, Shutterstock, Elsevier, and healthcare providers, highlighting a cross-industry approach to AI innovation. For example, LG has successfully developed EXAONEPath, a pathology-focused AI model for rapid cancer diagnosis that dramatically reduces genetic testing times, showcasing the versatility and impact of its AI technologies beyond finance.</w:t>
      </w:r>
      <w:r/>
    </w:p>
    <w:p>
      <w:r/>
      <w:r>
        <w:t>Further supporting this ecosystem is LG AI Research’s commitment to open innovation, exemplified by its recent release of EXAONE 3.5 as open-source software. This move includes a range of AI models from ultra-lightweight to high-performance versions designed for various applications, along with ChatEXAONE, an enterprise AI agent service intended to integrate AI functionalities into routine business operations, enhancing productivity. Such developments underscore LG's broader strategy to democratise AI tools and accelerate their adoption across sectors.</w:t>
      </w:r>
      <w:r/>
    </w:p>
    <w:p>
      <w:r/>
      <w:r>
        <w:t>Moreover, LG’s partnership with tech giants like Google Cloud has enhanced the efficiency and cost-effectiveness of training and deploying AI models like EXAONE 3.0 and ChatEXAONE, achieving substantial reductions in inference time, memory footprint, and operating expenses. These technical advancements reinforce the robustness of LG’s AI platform, enabling sophisticated applications like EXAONE BI to deliver timely, accurate financial insights on a global scale.</w:t>
      </w:r>
      <w:r/>
    </w:p>
    <w:p>
      <w:r/>
      <w:r>
        <w:t>In sum, the launch of EXAONE Business Intelligence signifies a noteworthy step in South Korea’s AI landscape, demonstrating LG’s commitment to advancing AI-driven solutions that meet market demands for precision, speed, and comprehensive data analytics. By blending deep domain expertise with partnerships and a versatile AI framework, LG AI Research aims to strengthen its competitive position in the global AI arena while driving innovation in sectors ranging from finance to healthcare.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https://www.koreaherald.com/article/10579921</w:t>
        </w:r>
      </w:hyperlink>
      <w:r>
        <w:t xml:space="preserve"> - Please view link - unable to able to access data</w:t>
      </w:r>
      <w:r/>
    </w:p>
    <w:p>
      <w:pPr>
        <w:pStyle w:val="ListNumber"/>
        <w:spacing w:line="240" w:lineRule="auto"/>
        <w:ind w:left="720"/>
      </w:pPr>
      <w:r/>
      <w:hyperlink r:id="rId9">
        <w:r>
          <w:rPr>
            <w:color w:val="0000EE"/>
            <w:u w:val="single"/>
          </w:rPr>
          <w:t>https://www.koreaherald.com/article/10579921</w:t>
        </w:r>
      </w:hyperlink>
      <w:r>
        <w:t xml:space="preserve"> - LG AI Research, the artificial intelligence lab under LG Group, has launched EXAONE Business Intelligence in partnership with the London Stock Exchange Group. This advanced financial agent is capable of generating high-quality financial reports autonomously, integrating and processing vast amounts of data to make market forecasts. Unlike existing financial AI services, EXAONE BI offers enhanced accuracy and serves as a comprehensive tool for data-driven decision-making, addressing the growing demand for advanced financial data and analytics amid market volatility.</w:t>
      </w:r>
      <w:r/>
    </w:p>
    <w:p>
      <w:pPr>
        <w:pStyle w:val="ListNumber"/>
        <w:spacing w:line="240" w:lineRule="auto"/>
        <w:ind w:left="720"/>
      </w:pPr>
      <w:r/>
      <w:hyperlink r:id="rId10">
        <w:r>
          <w:rPr>
            <w:color w:val="0000EE"/>
            <w:u w:val="single"/>
          </w:rPr>
          <w:t>https://www.kedglobal.com/artificial-intelligence/newsView/ked202202230006</w:t>
        </w:r>
      </w:hyperlink>
      <w:r>
        <w:t xml:space="preserve"> - LG AI Research unveiled an alliance network consisting of 13 corporations and organizations based in South Korea and abroad. The alliance includes four LG subsidiaries, Google, Shutterstock, Elsevier, and South Korean healthcare providers. At the heart of the alliance is Exaone, a hyperscale AI engine developed by LG AI Research, capable of processing large-scale data to perform tasks such as language understanding and image recognition, aiming to advance AI applications across various industries.</w:t>
      </w:r>
      <w:r/>
    </w:p>
    <w:p>
      <w:pPr>
        <w:pStyle w:val="ListNumber"/>
        <w:spacing w:line="240" w:lineRule="auto"/>
        <w:ind w:left="720"/>
      </w:pPr>
      <w:r/>
      <w:hyperlink r:id="rId11">
        <w:r>
          <w:rPr>
            <w:color w:val="0000EE"/>
            <w:u w:val="single"/>
          </w:rPr>
          <w:t>https://www.lgcorp.com/media/release/27377</w:t>
        </w:r>
      </w:hyperlink>
      <w:r>
        <w:t xml:space="preserve"> - LG AI Research introduced the 'EXAONE Universe', a super-giant language model-based platform designed for businesses to provide services to their clients. EXAONE Universe facilitates the development of expert AI services, including Q&amp;A, dialogue, text categorization, keyword extraction, and translation. Additionally, EXAONE Atelier, a platform maximizing EXAONE's multi-modal characteristics, enables bi-directional generation between text and images, fostering creative collaborations in design and content creation.</w:t>
      </w:r>
      <w:r/>
    </w:p>
    <w:p>
      <w:pPr>
        <w:pStyle w:val="ListNumber"/>
        <w:spacing w:line="240" w:lineRule="auto"/>
        <w:ind w:left="720"/>
      </w:pPr>
      <w:r/>
      <w:hyperlink r:id="rId12">
        <w:r>
          <w:rPr>
            <w:color w:val="0000EE"/>
            <w:u w:val="single"/>
          </w:rPr>
          <w:t>https://press.aboutamazon.com/2024/12/lg-ai-research-develops-ai-model-on-aws-for-rapid-cancer-diagnosis</w:t>
        </w:r>
      </w:hyperlink>
      <w:r>
        <w:t xml:space="preserve"> - LG AI Research developed EXAONEPath, a pathology foundation model for rapid cancer diagnosis, using Amazon Web Services (AWS). This model analyzes microscopic tissue images, reducing genetic testing time from two weeks to less than one minute, thereby accelerating patient diagnosis. EXAONEPath achieved an average accuracy of 86.1% across six benchmarks, demonstrating its potential to transform cancer diagnosis and treatment globally by improving speed and effectiveness.</w:t>
      </w:r>
      <w:r/>
    </w:p>
    <w:p>
      <w:pPr>
        <w:pStyle w:val="ListNumber"/>
        <w:spacing w:line="240" w:lineRule="auto"/>
        <w:ind w:left="720"/>
      </w:pPr>
      <w:r/>
      <w:hyperlink r:id="rId13">
        <w:r>
          <w:rPr>
            <w:color w:val="0000EE"/>
            <w:u w:val="single"/>
          </w:rPr>
          <w:t>https://www.lgcorp.com/media/release/28482</w:t>
        </w:r>
      </w:hyperlink>
      <w:r>
        <w:t xml:space="preserve"> - LG AI Research released EXAONE 3.5, an upgraded version of its generative AI model, as open source, fostering an open AI research ecosystem and accelerating innovation. The release includes three models: an ultra-lightweight model for on-device use, a lightweight model for general purposes, and a high-performance model for specialized applications. Additionally, LG introduced ChatEXAONE, an enterprise AI agent service, integrating AI into everyday business operations to enhance productivity and efficiency.</w:t>
      </w:r>
      <w:r/>
    </w:p>
    <w:p>
      <w:pPr>
        <w:pStyle w:val="ListNumber"/>
        <w:spacing w:line="240" w:lineRule="auto"/>
        <w:ind w:left="720"/>
      </w:pPr>
      <w:r/>
      <w:hyperlink r:id="rId14">
        <w:r>
          <w:rPr>
            <w:color w:val="0000EE"/>
            <w:u w:val="single"/>
          </w:rPr>
          <w:t>https://www.prnewswire.com/news-releases/lg-ai-research-taps-google-cloud-to-develop-exaone-3-0-and-chatexaone-ai-agent-302231481.html</w:t>
        </w:r>
      </w:hyperlink>
      <w:r>
        <w:t xml:space="preserve"> - LG AI Research expanded its collaboration with Google Cloud to develop EXAONE 3.0 and ChatEXAONE AI agent. Utilizing Google's Cloud TPUs and GPUs, LG achieved superior performance, cost efficiency, and low latency in training and deploying these models. The collaboration enabled LG to reduce inference processing time by 56%, memory usage by 35%, and operating costs by 72%, marking a significant advancement in AI model development and deployment.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herald.com/article/10579921" TargetMode="External"/><Relationship Id="rId10" Type="http://schemas.openxmlformats.org/officeDocument/2006/relationships/hyperlink" Target="https://www.kedglobal.com/artificial-intelligence/newsView/ked202202230006" TargetMode="External"/><Relationship Id="rId11" Type="http://schemas.openxmlformats.org/officeDocument/2006/relationships/hyperlink" Target="https://www.lgcorp.com/media/release/27377" TargetMode="External"/><Relationship Id="rId12" Type="http://schemas.openxmlformats.org/officeDocument/2006/relationships/hyperlink" Target="https://press.aboutamazon.com/2024/12/lg-ai-research-develops-ai-model-on-aws-for-rapid-cancer-diagnosis" TargetMode="External"/><Relationship Id="rId13" Type="http://schemas.openxmlformats.org/officeDocument/2006/relationships/hyperlink" Target="https://www.lgcorp.com/media/release/28482" TargetMode="External"/><Relationship Id="rId14" Type="http://schemas.openxmlformats.org/officeDocument/2006/relationships/hyperlink" Target="https://www.prnewswire.com/news-releases/lg-ai-research-taps-google-cloud-to-develop-exaone-3-0-and-chatexaone-ai-agent-302231481.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