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accelerates in 2025 with new focus on governance and multimodal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fast-paced evolution of artificial intelligence technology, businesses and developers face critical decisions regarding which AI frameworks and tools to adopt first. Industry reports, including insights from the Stanford AI Index and McKinsey surveys, point to a significant shift in how AI is strategically utilised across sectors. Projections indicate that global AI adoption will surge at a compound annual growth rate of approximately 36% through 2030, driven by improvements in operational efficiency and broader accessibility.</w:t>
      </w:r>
      <w:r/>
    </w:p>
    <w:p>
      <w:r/>
      <w:r>
        <w:t>September 2025 emerges as a pivotal moment for AI adoption trends, marked by accelerated investment and innovation. In the United States alone, AI-related investments reached a record $109 billion, corresponding with the rise of multimodal AI systems that integrate capabilities across text, images, video, and audio. While nearly 89% of small businesses now employ AI tools in their operations, larger enterprises continue to explore autonomous agents and complex AI frameworks to maintain a competitive edge. This rapid development is evidenced by benchmarks showing technology skip-outs rising by over 67 percentage points within a year, reflecting swift progress in AI capabilities.</w:t>
      </w:r>
      <w:r/>
    </w:p>
    <w:p>
      <w:r/>
      <w:r>
        <w:t>Key trends guiding the choice of AI tools and frameworks include the ascent of agentic AI systems—autonomous or semi-autonomous AI that can make decisions and execute actions without constant human input. Equally important is the maturation of model serving and deployment strategies, with tools supporting versioning, monitoring, and updating of AI models now standard practice in managing complex, scaled AI operations. Frameworks that ensure interoperability and efficient hardware utilisation—whether GPUs, TPUs, or edge devices—are also highly sought after, alongside open-source ecosystems like LangChain and Hugging Face that offer organisations greater control over costs, ownership, and freedom from vendor lock-in.</w:t>
      </w:r>
      <w:r/>
    </w:p>
    <w:p>
      <w:r/>
      <w:r>
        <w:t>Governance, ethical considerations, and risk management frameworks have similarly become essential features in AI adoption decisions. Organisations increasingly prioritize standards such as the NIST AI Risk Management Framework and ISO/IEC 42001 to ensure trustworthy, scalable, and governable AI usage. These considerations reflect a shift from merely asking what AI can do towards how it can be reliably integrated into business processes while managing compliance and ethical risks.</w:t>
      </w:r>
      <w:r/>
    </w:p>
    <w:p>
      <w:r/>
      <w:r>
        <w:t>For businesses looking to capitalise on these trends, several tools stand out for initial adoption. TensorFlow remains a robust choice for production scaling and edge deployment, while PyTorch offers fast iteration and flexibility, particularly suited for research and natural language processing. High-performance computing needs may lean on JAX, whereas Intel-focused deployments benefit from OpenVINO. DeepSpeed aids in training large models with memory efficiency, and various MLOps platforms like BentoML or TorchServe support the transition from prototyping to production. AI agent frameworks such as LangChain facilitate the creation of autonomous workflows, while early adoption of governance standards can provide a foundation of trust and compliance from the outset.</w:t>
      </w:r>
      <w:r/>
    </w:p>
    <w:p>
      <w:r/>
      <w:r>
        <w:t>Strategically, experts advise businesses to prioritise specific pain points or inefficiencies rather than succumbing to the hype surrounding AI. Early prototyping with developer-friendly tools should precede production-scale deployments. Early integration of governance and ethical frameworks is also critical to ensure accountability and mitigate future risks. A balanced approach combining open-source innovations and commercial tools typically delivers the best value, offering both flexibility and support.</w:t>
      </w:r>
      <w:r/>
    </w:p>
    <w:p>
      <w:r/>
      <w:r>
        <w:t>Looking ahead, several emerging trends warrant attention. The integration of multimodal AI systems will increase, underscoring the need for tools that support diverse data types. Edge AI will grow in popularity due to benefits like reduced latency, lower infrastructure costs, and enhanced privacy—important in sectors such as telecom and healthcare. Custom, smaller-scale models tailored to specific verticals are expected to outperform large general-purpose ones in many use cases. Furthermore, development and adoption of protocols for coordinating autonomous AI agents, such as the Model Context Protocol, are underway to foster interoperability. Meanwhile, regulatory and compliance pressures will likely rise, shaping AI governance frameworks and tool preferences.</w:t>
      </w:r>
      <w:r/>
    </w:p>
    <w:p>
      <w:r/>
      <w:r>
        <w:t>Supporting these projections, wider market data reveals significant momentum. Global AI user numbers are forecast to increase by 20% in 2025, reaching nearly 378 million, with the United States accounting for around a third of this growth. Meanwhile, consumer adoption patterns show that 60% of U.S. adults use AI for information search, with younger generations more active in employing AI for brainstorming and work tasks. Business adoption is also accelerating, particularly in tech-forward regions like Colorado and the District of Columbia, with AI applications spanning marketing, customer service chatbots, and data analytics.</w:t>
      </w:r>
      <w:r/>
    </w:p>
    <w:p>
      <w:r/>
      <w:r>
        <w:t>The commercial impact of AI is becoming more pronounced, with digital advertising spend on AI-powered search expected to leap from just over $1 billion in 2025 to nearly $26 billion by 2029 in the United States alone. Strategic AI adoption is linked to improved customer experiences, cost reductions, and enhanced operational efficiency—which businesses increasingly recognise as essential drivers of return on investment.</w:t>
      </w:r>
      <w:r/>
    </w:p>
    <w:p>
      <w:r/>
      <w:r>
        <w:t>In the professional domain, generative AI usage has grown rapidly among PR and communications professionals, who deploy these tools extensively for brainstorming, drafting, editing, and research, though concerns remain about training and development in the workforce.</w:t>
      </w:r>
      <w:r/>
    </w:p>
    <w:p>
      <w:r/>
      <w:r>
        <w:t>In summary, successful AI adoption in 2025 hinges on organisations addressing real-world problems with appropriate frameworks and tools, balancing innovation with governance and ethical considerations. This approach not only enhances technical performance but also ensures reliability, interoperability, and safety—elements that will underpin sustainable AI integration moving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(TechieXpert), </w:t>
      </w:r>
      <w:hyperlink r:id="rId10">
        <w:r>
          <w:rPr>
            <w:color w:val="0000EE"/>
            <w:u w:val="single"/>
          </w:rPr>
          <w:t>[5]</w:t>
        </w:r>
      </w:hyperlink>
      <w:r>
        <w:t xml:space="preserve"> (Institute of Internet Economics) </w:t>
      </w:r>
      <w:r/>
    </w:p>
    <w:p>
      <w:pPr>
        <w:pStyle w:val="ListBullet"/>
        <w:spacing w:line="240" w:lineRule="auto"/>
        <w:ind w:left="720"/>
      </w:pPr>
      <w:r/>
      <w:r>
        <w:t xml:space="preserve">Paragraph 2 – </w:t>
      </w:r>
      <w:hyperlink r:id="rId9">
        <w:r>
          <w:rPr>
            <w:color w:val="0000EE"/>
            <w:u w:val="single"/>
          </w:rPr>
          <w:t>[1]</w:t>
        </w:r>
      </w:hyperlink>
      <w:r>
        <w:t xml:space="preserve"> (TechieXpert), </w:t>
      </w:r>
      <w:hyperlink r:id="rId11">
        <w:r>
          <w:rPr>
            <w:color w:val="0000EE"/>
            <w:u w:val="single"/>
          </w:rPr>
          <w:t>[2]</w:t>
        </w:r>
      </w:hyperlink>
      <w:r>
        <w:t xml:space="preserve"> (Edge AI Vision) </w:t>
      </w:r>
      <w:r/>
    </w:p>
    <w:p>
      <w:pPr>
        <w:pStyle w:val="ListBullet"/>
        <w:spacing w:line="240" w:lineRule="auto"/>
        <w:ind w:left="720"/>
      </w:pPr>
      <w:r/>
      <w:r>
        <w:t xml:space="preserve">Paragraph 3 – </w:t>
      </w:r>
      <w:hyperlink r:id="rId9">
        <w:r>
          <w:rPr>
            <w:color w:val="0000EE"/>
            <w:u w:val="single"/>
          </w:rPr>
          <w:t>[1]</w:t>
        </w:r>
      </w:hyperlink>
      <w:r>
        <w:t xml:space="preserve"> (TechieXpert) </w:t>
      </w:r>
      <w:r/>
    </w:p>
    <w:p>
      <w:pPr>
        <w:pStyle w:val="ListBullet"/>
        <w:spacing w:line="240" w:lineRule="auto"/>
        <w:ind w:left="720"/>
      </w:pPr>
      <w:r/>
      <w:r>
        <w:t xml:space="preserve">Paragraph 4 – </w:t>
      </w:r>
      <w:hyperlink r:id="rId9">
        <w:r>
          <w:rPr>
            <w:color w:val="0000EE"/>
            <w:u w:val="single"/>
          </w:rPr>
          <w:t>[1]</w:t>
        </w:r>
      </w:hyperlink>
      <w:r>
        <w:t xml:space="preserve"> (TechieXpert) </w:t>
      </w:r>
      <w:r/>
    </w:p>
    <w:p>
      <w:pPr>
        <w:pStyle w:val="ListBullet"/>
        <w:spacing w:line="240" w:lineRule="auto"/>
        <w:ind w:left="720"/>
      </w:pPr>
      <w:r/>
      <w:r>
        <w:t xml:space="preserve">Paragraph 5 – </w:t>
      </w:r>
      <w:hyperlink r:id="rId9">
        <w:r>
          <w:rPr>
            <w:color w:val="0000EE"/>
            <w:u w:val="single"/>
          </w:rPr>
          <w:t>[1]</w:t>
        </w:r>
      </w:hyperlink>
      <w:r>
        <w:t xml:space="preserve"> (TechieXpert) </w:t>
      </w:r>
      <w:r/>
    </w:p>
    <w:p>
      <w:pPr>
        <w:pStyle w:val="ListBullet"/>
        <w:spacing w:line="240" w:lineRule="auto"/>
        <w:ind w:left="720"/>
      </w:pPr>
      <w:r/>
      <w:r>
        <w:t xml:space="preserve">Paragraph 6 – </w:t>
      </w:r>
      <w:hyperlink r:id="rId9">
        <w:r>
          <w:rPr>
            <w:color w:val="0000EE"/>
            <w:u w:val="single"/>
          </w:rPr>
          <w:t>[1]</w:t>
        </w:r>
      </w:hyperlink>
      <w:r>
        <w:t xml:space="preserve"> (TechieXpert) </w:t>
      </w:r>
      <w:r/>
    </w:p>
    <w:p>
      <w:pPr>
        <w:pStyle w:val="ListBullet"/>
        <w:spacing w:line="240" w:lineRule="auto"/>
        <w:ind w:left="720"/>
      </w:pPr>
      <w:r/>
      <w:r>
        <w:t xml:space="preserve">Paragraph 7 – </w:t>
      </w:r>
      <w:hyperlink r:id="rId9">
        <w:r>
          <w:rPr>
            <w:color w:val="0000EE"/>
            <w:u w:val="single"/>
          </w:rPr>
          <w:t>[1]</w:t>
        </w:r>
      </w:hyperlink>
      <w:r>
        <w:t xml:space="preserve"> (TechieXpert) </w:t>
      </w:r>
      <w:r/>
    </w:p>
    <w:p>
      <w:pPr>
        <w:pStyle w:val="ListBullet"/>
        <w:spacing w:line="240" w:lineRule="auto"/>
        <w:ind w:left="720"/>
      </w:pPr>
      <w:r/>
      <w:r>
        <w:t xml:space="preserve">Paragraph 8 – </w:t>
      </w:r>
      <w:hyperlink r:id="rId9">
        <w:r>
          <w:rPr>
            <w:color w:val="0000EE"/>
            <w:u w:val="single"/>
          </w:rPr>
          <w:t>[1]</w:t>
        </w:r>
      </w:hyperlink>
      <w:r>
        <w:t xml:space="preserve"> (TechieXpert), </w:t>
      </w:r>
      <w:hyperlink r:id="rId11">
        <w:r>
          <w:rPr>
            <w:color w:val="0000EE"/>
            <w:u w:val="single"/>
          </w:rPr>
          <w:t>[2]</w:t>
        </w:r>
      </w:hyperlink>
      <w:r>
        <w:t xml:space="preserve"> (Edge AI Vision) </w:t>
      </w:r>
      <w:r/>
    </w:p>
    <w:p>
      <w:pPr>
        <w:pStyle w:val="ListBullet"/>
        <w:spacing w:line="240" w:lineRule="auto"/>
        <w:ind w:left="720"/>
      </w:pPr>
      <w:r/>
      <w:r>
        <w:t xml:space="preserve">Paragraph 9 – </w:t>
      </w:r>
      <w:hyperlink r:id="rId11">
        <w:r>
          <w:rPr>
            <w:color w:val="0000EE"/>
            <w:u w:val="single"/>
          </w:rPr>
          <w:t>[2]</w:t>
        </w:r>
      </w:hyperlink>
      <w:r>
        <w:t xml:space="preserve"> (Edge AI Vision), </w:t>
      </w:r>
      <w:hyperlink r:id="rId12">
        <w:r>
          <w:rPr>
            <w:color w:val="0000EE"/>
            <w:u w:val="single"/>
          </w:rPr>
          <w:t>[3]</w:t>
        </w:r>
      </w:hyperlink>
      <w:r>
        <w:t xml:space="preserve"> (AP News) </w:t>
      </w:r>
      <w:r/>
    </w:p>
    <w:p>
      <w:pPr>
        <w:pStyle w:val="ListBullet"/>
        <w:spacing w:line="240" w:lineRule="auto"/>
        <w:ind w:left="720"/>
      </w:pPr>
      <w:r/>
      <w:r>
        <w:t xml:space="preserve">Paragraph 10 – </w:t>
      </w:r>
      <w:hyperlink r:id="rId13">
        <w:r>
          <w:rPr>
            <w:color w:val="0000EE"/>
            <w:u w:val="single"/>
          </w:rPr>
          <w:t>[4]</w:t>
        </w:r>
      </w:hyperlink>
      <w:r>
        <w:t xml:space="preserve"> (Reuters), </w:t>
      </w:r>
      <w:hyperlink r:id="rId10">
        <w:r>
          <w:rPr>
            <w:color w:val="0000EE"/>
            <w:u w:val="single"/>
          </w:rPr>
          <w:t>[5]</w:t>
        </w:r>
      </w:hyperlink>
      <w:r>
        <w:t xml:space="preserve"> (Institute of Internet Economics) </w:t>
      </w:r>
      <w:r/>
    </w:p>
    <w:p>
      <w:pPr>
        <w:pStyle w:val="ListBullet"/>
        <w:spacing w:line="240" w:lineRule="auto"/>
        <w:ind w:left="720"/>
      </w:pPr>
      <w:r/>
      <w:r>
        <w:t xml:space="preserve">Paragraph 11 – </w:t>
      </w:r>
      <w:hyperlink r:id="rId14">
        <w:r>
          <w:rPr>
            <w:color w:val="0000EE"/>
            <w:u w:val="single"/>
          </w:rPr>
          <w:t>[6]</w:t>
        </w:r>
      </w:hyperlink>
      <w:r>
        <w:t xml:space="preserve"> (Axios) </w:t>
      </w:r>
      <w:r/>
    </w:p>
    <w:p>
      <w:pPr>
        <w:pStyle w:val="ListBullet"/>
        <w:spacing w:line="240" w:lineRule="auto"/>
        <w:ind w:left="720"/>
      </w:pPr>
      <w:r/>
      <w:r>
        <w:t xml:space="preserve">Paragraph 12 – </w:t>
      </w:r>
      <w:hyperlink r:id="rId9">
        <w:r>
          <w:rPr>
            <w:color w:val="0000EE"/>
            <w:u w:val="single"/>
          </w:rPr>
          <w:t>[1]</w:t>
        </w:r>
      </w:hyperlink>
      <w:r>
        <w:t xml:space="preserve"> (TechieXpert), </w:t>
      </w:r>
      <w:hyperlink r:id="rId15">
        <w:r>
          <w:rPr>
            <w:color w:val="0000EE"/>
            <w:u w:val="single"/>
          </w:rPr>
          <w:t>[7]</w:t>
        </w:r>
      </w:hyperlink>
      <w:r>
        <w:t xml:space="preserve"> (AP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https://www.techiexpert.com/ai-adoption-tools-trends-dominating-in-2025-what-to-adopt-first/</w:t>
        </w:r>
      </w:hyperlink>
      <w:r>
        <w:t xml:space="preserve"> - Please view link - unable to able to access data</w:t>
      </w:r>
      <w:r/>
    </w:p>
    <w:p>
      <w:pPr>
        <w:pStyle w:val="ListNumber"/>
        <w:spacing w:line="240" w:lineRule="auto"/>
        <w:ind w:left="720"/>
      </w:pPr>
      <w:r/>
      <w:hyperlink r:id="rId11">
        <w:r>
          <w:rPr>
            <w:color w:val="0000EE"/>
            <w:u w:val="single"/>
          </w:rPr>
          <w:t>https://www.edge-ai-vision.com/2025/02/global-ai-adoption-to-surge-20-exceeding-378-million-users-in-2025/</w:t>
        </w:r>
      </w:hyperlink>
      <w:r>
        <w:t xml:space="preserve"> - This article discusses the rapid growth of AI adoption, projecting a 20% increase to 378 million users globally by 2025. It highlights the significant rise in AI usage across various industries and regions, emphasizing the transformative impact of AI technologies on business operations and daily life. The piece also notes that the United States is expected to lead in new AI users, accounting for one-third of the global increase in 2025, underscoring the country's pivotal role in AI integration.</w:t>
      </w:r>
      <w:r/>
    </w:p>
    <w:p>
      <w:pPr>
        <w:pStyle w:val="ListNumber"/>
        <w:spacing w:line="240" w:lineRule="auto"/>
        <w:ind w:left="720"/>
      </w:pPr>
      <w:r/>
      <w:hyperlink r:id="rId12">
        <w:r>
          <w:rPr>
            <w:color w:val="0000EE"/>
            <w:u w:val="single"/>
          </w:rPr>
          <w:t>https://apnews.com/article/229b665d10d057441a69f56648b973e1</w:t>
        </w:r>
      </w:hyperlink>
      <w:r>
        <w:t xml:space="preserve"> - An Associated Press-NORC poll reveals that 60% of U.S. adults use AI to search for information, with 74% of those under 30 engaging in this activity. The survey also highlights generational differences, noting that younger adults are more likely to use AI for tasks like brainstorming and work-related activities. Despite the widespread use of AI for information retrieval, fewer individuals utilize it for tasks such as work, drafting emails, shopping, or entertainment.</w:t>
      </w:r>
      <w:r/>
    </w:p>
    <w:p>
      <w:pPr>
        <w:pStyle w:val="ListNumber"/>
        <w:spacing w:line="240" w:lineRule="auto"/>
        <w:ind w:left="720"/>
      </w:pPr>
      <w:r/>
      <w:hyperlink r:id="rId13">
        <w:r>
          <w:rPr>
            <w:color w:val="0000EE"/>
            <w:u w:val="single"/>
          </w:rPr>
          <w:t>https://www.reuters.com/business/media-telecom/ai-driven-search-ad-spending-set-surge-26-billion-by-2029-data-shows-2025-06-04/</w:t>
        </w:r>
      </w:hyperlink>
      <w:r>
        <w:t xml:space="preserve"> - This Reuters article reports on the projected surge in AI-powered search advertising spending in the U.S., expected to grow from just over $1 billion in 2025 to nearly $26 billion by 2029. The increase is attributed to the rapid adoption of AI technologies and improved user targeting. The shift towards AI-driven search ads is altering the digital advertising landscape, posing challenges to traditional keyword-based advertising models and prompting companies to adapt to new AI-driven strategies.</w:t>
      </w:r>
      <w:r/>
    </w:p>
    <w:p>
      <w:pPr>
        <w:pStyle w:val="ListNumber"/>
        <w:spacing w:line="240" w:lineRule="auto"/>
        <w:ind w:left="720"/>
      </w:pPr>
      <w:r/>
      <w:hyperlink r:id="rId10">
        <w:r>
          <w:rPr>
            <w:color w:val="0000EE"/>
            <w:u w:val="single"/>
          </w:rPr>
          <w:t>https://instituteofinterneteconomics.org/top-ai-statistics-july-2025/</w:t>
        </w:r>
      </w:hyperlink>
      <w:r>
        <w:t xml:space="preserve"> - The Institute of Internet Economics provides comprehensive AI statistics as of July 2025, including that 83% of businesses prioritize AI in strategic planning and 87% believe AI offers a competitive edge. The report also notes that 35% of companies currently use AI, with another 42% planning adoption. Additionally, AI adoption in retail is projected to reach 80% by year-end, and 86% of CEOs now view AI as mainstream within their companies.</w:t>
      </w:r>
      <w:r/>
    </w:p>
    <w:p>
      <w:pPr>
        <w:pStyle w:val="ListNumber"/>
        <w:spacing w:line="240" w:lineRule="auto"/>
        <w:ind w:left="720"/>
      </w:pPr>
      <w:r/>
      <w:hyperlink r:id="rId14">
        <w:r>
          <w:rPr>
            <w:color w:val="0000EE"/>
            <w:u w:val="single"/>
          </w:rPr>
          <w:t>https://www.axios.com/2025/01/16/ai-communications-workflow-pr-professionals</w:t>
        </w:r>
      </w:hyperlink>
      <w:r>
        <w:t xml:space="preserve"> - A Muck Rack survey reveals that 75% of PR professionals are now using generative AI in their work, nearly tripling the usage since March 2023. The survey highlights that AI is extensively used for brainstorming (82%), writing first drafts (72%), editing (70%), and research (59%). Despite the widespread adoption, there is a notable lack of training and best practice guidance, with concerns that heavy reliance on AI could impede talent development among newer practitioners.</w:t>
      </w:r>
      <w:r/>
    </w:p>
    <w:p>
      <w:pPr>
        <w:pStyle w:val="ListNumber"/>
        <w:spacing w:line="240" w:lineRule="auto"/>
        <w:ind w:left="720"/>
      </w:pPr>
      <w:r/>
      <w:hyperlink r:id="rId15">
        <w:r>
          <w:rPr>
            <w:color w:val="0000EE"/>
            <w:u w:val="single"/>
          </w:rPr>
          <w:t>https://apnews.com/article/537a4db7e33fe047963b8c26bf7c366c</w:t>
        </w:r>
      </w:hyperlink>
      <w:r>
        <w:t xml:space="preserve"> - This article discusses the rapid growth of AI adoption among U.S. businesses, particularly in the information technology sector and firms in Colorado and the District of Columbia. According to the U.S. Census Bureau's Business Trends and Outlook Survey, AI adoption increased from 3.7% to 5.4% between fall 2023 and February 2024 and is expected to reach 6.6% by early fall 2024. Larger firms and those in technology are more likely to use AI, with common applications including marketing, customer service chatbots, and data analytics.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iexpert.com/ai-adoption-tools-trends-dominating-in-2025-what-to-adopt-first/" TargetMode="External"/><Relationship Id="rId10" Type="http://schemas.openxmlformats.org/officeDocument/2006/relationships/hyperlink" Target="https://instituteofinterneteconomics.org/top-ai-statistics-july-2025/" TargetMode="External"/><Relationship Id="rId11" Type="http://schemas.openxmlformats.org/officeDocument/2006/relationships/hyperlink" Target="https://www.edge-ai-vision.com/2025/02/global-ai-adoption-to-surge-20-exceeding-378-million-users-in-2025/" TargetMode="External"/><Relationship Id="rId12" Type="http://schemas.openxmlformats.org/officeDocument/2006/relationships/hyperlink" Target="https://apnews.com/article/229b665d10d057441a69f56648b973e1" TargetMode="External"/><Relationship Id="rId13" Type="http://schemas.openxmlformats.org/officeDocument/2006/relationships/hyperlink" Target="https://www.reuters.com/business/media-telecom/ai-driven-search-ad-spending-set-surge-26-billion-by-2029-data-shows-2025-06-04/" TargetMode="External"/><Relationship Id="rId14" Type="http://schemas.openxmlformats.org/officeDocument/2006/relationships/hyperlink" Target="https://www.axios.com/2025/01/16/ai-communications-workflow-pr-professionals" TargetMode="External"/><Relationship Id="rId15" Type="http://schemas.openxmlformats.org/officeDocument/2006/relationships/hyperlink" Target="https://apnews.com/article/537a4db7e33fe047963b8c26bf7c366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