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sector sees surge in decentralised AI and infrastructure funding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 saw 18 disclosed investment and financing events in the global blockchain sector, with the total funding exceeding USD 162 million, according to partial data compiled by PANews. Among these, listed companies raised over USD 110 million specifically for bolstering their cryptocurrency asset reserves.</w:t>
      </w:r>
      <w:r/>
    </w:p>
    <w:p>
      <w:r/>
      <w:r>
        <w:t>In the Decentralized Finance (DeFi) sphere, Turtle, an on-chain liquidity distribution protocol, secured an additional USD 5.5 million in a new funding round, bringing its cumulative financing to USD 11.7 million. This round included participation from institutional investors such as GSR, Bitscale VC, Theia, Trident Digital, and Anchorage Venture Capital, among others. Turtle’s platform aims to connect capital with blockchain protocols via a transparent, data-driven coordination layer that curates investment opportunities and efficiently distributes liquidity across a growing network of partners. The company intends to use the new funds to expand its Earn infrastructure, grow its engineering team, and deepen integrations with various blockchain ecosystems spanning multiple chains.</w:t>
      </w:r>
      <w:r/>
    </w:p>
    <w:p>
      <w:r/>
      <w:r>
        <w:t>In the Web3 and Artificial Intelligence (AI) intersection, AI Web3 startup Bluwhale closed a USD 10 million Series A funding round led by UOB Venture Management, a wholly owned subsidiary of United Overseas Bank. This round also saw participation from existing investors like SBI Holdings and supporters from prominent blockchain ecosystems including Sui, Tezos, Cardano, and Arbitrum. Bluwhale develops a decentralized intelligence network on blockchain infrastructure, aiming to make AI capabilities more open, secure, and scalable. Its technology supports AI agents on chains to assist institutions in accelerating their digital transformation through intelligent automation and blockchain-native AI services.</w:t>
      </w:r>
      <w:r/>
    </w:p>
    <w:p>
      <w:r/>
      <w:r>
        <w:t>Infrastructure and blockchain tools attracted significant investment, with eight rounds announced during the week. Notably, YZi Labs led a strategic financing round of USD 25.5 million for Sign, a company committed to building sovereign blockchain infrastructure. Sign plans to leverage the financing to expand its technical team and forge partnerships aimed at evolving digital infrastructure. Across its seed, Series A, and strategic rounds, Sign has now raised over USD 55 million to date.</w:t>
      </w:r>
      <w:r/>
    </w:p>
    <w:p>
      <w:r/>
      <w:r>
        <w:t xml:space="preserve">Other substantial investments included stablecoin payment platform StraitsX, which raised USD 10 million with backing from UQPAY and Japan’s NTT DOCOMO, targeting expansion of stablecoin infrastructure integrated with traditional fiat payment networks and the Web3 ecosystem. In addition, BitcoinOS secured USD 10 million to enhance institutional Bitcoin financial services and developer tools, focusing on BTC yield protocols and cross-chain bridging capabilities. </w:t>
      </w:r>
      <w:r/>
    </w:p>
    <w:p>
      <w:r/>
      <w:r>
        <w:t>Web3 applications also saw strong financing signals. Limitless, a prediction market platform built on the Base chain, completed a USD 10 million seed round led by 1confirmation, with participation from notable investors including Coinbase Ventures and Arrington Capital. Meanwhile, Nubila, a decentralized data infrastructure provider, raised USD 8 million in seed funds advancing its commitment to prediction oracles that integrate real-world data with blockchain for enhanced accuracy and reliability.</w:t>
      </w:r>
      <w:r/>
    </w:p>
    <w:p>
      <w:r/>
      <w:r>
        <w:t>In the centralized finance sector, Pave Bank, a programmable bank designed to serve digital asset and AI-era consumers, raised USD 39 million in a Series A round led by Accel. The financing round included investments from Tether Investments and Wintermute, underpinning the bank’s ambition to expand regulatory coverage and develop sophisticated institutional-grade infrastructure across global markets.</w:t>
      </w:r>
      <w:r/>
    </w:p>
    <w:p>
      <w:r/>
      <w:r>
        <w:t>Among other noteworthy deals, Greenlane Holdings, a Nasdaq-listed firm, secured USD 110 million through a private placement to launch its Berachain asset management strategy. This move aims to strengthen its crypto asset treasury featuring BERA, the native token of the Berachain blockchain.</w:t>
      </w:r>
      <w:r/>
    </w:p>
    <w:p>
      <w:r/>
      <w:r>
        <w:t>Finally, Depinsim, a decentralized communication and data infrastructure project built on eSIM technology, completed an USD 8 million strategic financing round led by Outlier Ventures. Depinsim is pioneering a "Connect-to-Earn" model that incentivizes users with rewards for network participation, enabling a user-driven global connectivity economy.</w:t>
      </w:r>
      <w:r/>
    </w:p>
    <w:p>
      <w:r/>
      <w:r>
        <w:t>Collectively, these financing events reflect the continued robust interest and capital flow into blockchain innovations spanning DeFi, AI, Web3 infrastructure, and centralized digital finance models, further driving the sector’s evolution toward more decentralised and integrated ecosystems.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(Futunn Weekly Financing Report)</w:t>
      </w:r>
      <w:r/>
    </w:p>
    <w:p>
      <w:pPr>
        <w:pStyle w:val="ListBullet"/>
        <w:spacing w:line="240" w:lineRule="auto"/>
        <w:ind w:left="720"/>
      </w:pPr>
      <w:r/>
      <w:r>
        <w:t xml:space="preserve">Paragraph 2 – </w:t>
      </w:r>
      <w:hyperlink r:id="rId9">
        <w:r>
          <w:rPr>
            <w:color w:val="0000EE"/>
            <w:u w:val="single"/>
          </w:rPr>
          <w:t>[1]</w:t>
        </w:r>
      </w:hyperlink>
      <w:r>
        <w:t xml:space="preserve"> (Futunn Weekly Financing Report), </w:t>
      </w:r>
      <w:hyperlink r:id="rId10">
        <w:r>
          <w:rPr>
            <w:color w:val="0000EE"/>
            <w:u w:val="single"/>
          </w:rPr>
          <w:t>[2]</w:t>
        </w:r>
      </w:hyperlink>
      <w:r>
        <w:t xml:space="preserve"> (GlobeNewswire), </w:t>
      </w:r>
      <w:hyperlink r:id="rId10">
        <w:r>
          <w:rPr>
            <w:color w:val="0000EE"/>
            <w:u w:val="single"/>
          </w:rPr>
          <w:t>[4]</w:t>
        </w:r>
      </w:hyperlink>
      <w:r>
        <w:t xml:space="preserve"> (GlobeNewswire), </w:t>
      </w:r>
      <w:hyperlink r:id="rId10">
        <w:r>
          <w:rPr>
            <w:color w:val="0000EE"/>
            <w:u w:val="single"/>
          </w:rPr>
          <w:t>[6]</w:t>
        </w:r>
      </w:hyperlink>
      <w:r>
        <w:t xml:space="preserve"> (GlobeNewswire)</w:t>
      </w:r>
      <w:r/>
    </w:p>
    <w:p>
      <w:pPr>
        <w:pStyle w:val="ListBullet"/>
        <w:spacing w:line="240" w:lineRule="auto"/>
        <w:ind w:left="720"/>
      </w:pPr>
      <w:r/>
      <w:r>
        <w:t xml:space="preserve">Paragraph 3 – </w:t>
      </w:r>
      <w:hyperlink r:id="rId9">
        <w:r>
          <w:rPr>
            <w:color w:val="0000EE"/>
            <w:u w:val="single"/>
          </w:rPr>
          <w:t>[1]</w:t>
        </w:r>
      </w:hyperlink>
      <w:r>
        <w:t xml:space="preserve"> (Futunn Weekly Financing Report), </w:t>
      </w:r>
      <w:hyperlink r:id="rId11">
        <w:r>
          <w:rPr>
            <w:color w:val="0000EE"/>
            <w:u w:val="single"/>
          </w:rPr>
          <w:t>[3]</w:t>
        </w:r>
      </w:hyperlink>
      <w:r>
        <w:t xml:space="preserve"> (GlobeNewswire), </w:t>
      </w:r>
      <w:hyperlink r:id="rId11">
        <w:r>
          <w:rPr>
            <w:color w:val="0000EE"/>
            <w:u w:val="single"/>
          </w:rPr>
          <w:t>[5]</w:t>
        </w:r>
      </w:hyperlink>
      <w:r>
        <w:t xml:space="preserve"> (GlobeNewswire)</w:t>
      </w:r>
      <w:r/>
    </w:p>
    <w:p>
      <w:pPr>
        <w:pStyle w:val="ListBullet"/>
        <w:spacing w:line="240" w:lineRule="auto"/>
        <w:ind w:left="720"/>
      </w:pPr>
      <w:r/>
      <w:r>
        <w:t xml:space="preserve">Paragraph 4 – </w:t>
      </w:r>
      <w:hyperlink r:id="rId9">
        <w:r>
          <w:rPr>
            <w:color w:val="0000EE"/>
            <w:u w:val="single"/>
          </w:rPr>
          <w:t>[1]</w:t>
        </w:r>
      </w:hyperlink>
      <w:r>
        <w:t xml:space="preserve"> (Futunn Weekly Financing Report)</w:t>
      </w:r>
      <w:r/>
    </w:p>
    <w:p>
      <w:pPr>
        <w:pStyle w:val="ListBullet"/>
        <w:spacing w:line="240" w:lineRule="auto"/>
        <w:ind w:left="720"/>
      </w:pPr>
      <w:r/>
      <w:r>
        <w:t xml:space="preserve">Paragraph 5 – </w:t>
      </w:r>
      <w:hyperlink r:id="rId9">
        <w:r>
          <w:rPr>
            <w:color w:val="0000EE"/>
            <w:u w:val="single"/>
          </w:rPr>
          <w:t>[1]</w:t>
        </w:r>
      </w:hyperlink>
      <w:r>
        <w:t xml:space="preserve"> (Futunn Weekly Financing Report)</w:t>
      </w:r>
      <w:r/>
    </w:p>
    <w:p>
      <w:pPr>
        <w:pStyle w:val="ListBullet"/>
        <w:spacing w:line="240" w:lineRule="auto"/>
        <w:ind w:left="720"/>
      </w:pPr>
      <w:r/>
      <w:r>
        <w:t xml:space="preserve">Paragraph 6 – </w:t>
      </w:r>
      <w:hyperlink r:id="rId9">
        <w:r>
          <w:rPr>
            <w:color w:val="0000EE"/>
            <w:u w:val="single"/>
          </w:rPr>
          <w:t>[1]</w:t>
        </w:r>
      </w:hyperlink>
      <w:r>
        <w:t xml:space="preserve"> (Futunn Weekly Financing Report)</w:t>
      </w:r>
      <w:r/>
    </w:p>
    <w:p>
      <w:pPr>
        <w:pStyle w:val="ListBullet"/>
        <w:spacing w:line="240" w:lineRule="auto"/>
        <w:ind w:left="720"/>
      </w:pPr>
      <w:r/>
      <w:r>
        <w:t xml:space="preserve">Paragraph 7 – </w:t>
      </w:r>
      <w:hyperlink r:id="rId9">
        <w:r>
          <w:rPr>
            <w:color w:val="0000EE"/>
            <w:u w:val="single"/>
          </w:rPr>
          <w:t>[1]</w:t>
        </w:r>
      </w:hyperlink>
      <w:r>
        <w:t xml:space="preserve"> (Futunn Weekly Financing Report)</w:t>
      </w:r>
      <w:r/>
    </w:p>
    <w:p>
      <w:pPr>
        <w:pStyle w:val="ListBullet"/>
        <w:spacing w:line="240" w:lineRule="auto"/>
        <w:ind w:left="720"/>
      </w:pPr>
      <w:r/>
      <w:r>
        <w:t xml:space="preserve">Paragraph 8 – </w:t>
      </w:r>
      <w:hyperlink r:id="rId9">
        <w:r>
          <w:rPr>
            <w:color w:val="0000EE"/>
            <w:u w:val="single"/>
          </w:rPr>
          <w:t>[1]</w:t>
        </w:r>
      </w:hyperlink>
      <w:r>
        <w:t xml:space="preserve"> (Futunn Weekly Financing Report)</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https://news.futunn.com/en/post/63815991/weekly-financing-report-18-disclosed-financing-events-with-yzi-labs</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https://www.globenewswire.com/news-release/2025/10/20/3169482/0/en/Turtle-Raises-an-Additional-5-5M-to-Expand-Its-Liquidity-Distribution-Network.html</w:t>
        </w:r>
      </w:hyperlink>
      <w:r>
        <w:t xml:space="preserve"> - Turtle, an on-chain liquidity distribution protocol, has secured an additional $5.5 million in funding, bringing its total to $11.7 million. This investment round included follow-on investors such as Bitscale VC, Theia, and Trident Digital, as well as new institutional investors like SNZ HOLDING, GSR, FalconX, and Anchorage VC. The funds will be used to expand Turtle's Earn infrastructure, grow its engineering team, and deepen integrations with protocols and ecosystems across multiple chains. Turtle aims to connect capital and protocols through a transparent, data-driven coordination layer, curating investment opportunities and distributing liquidity across an expanding network of partners.</w:t>
      </w:r>
      <w:r/>
    </w:p>
    <w:p>
      <w:pPr>
        <w:pStyle w:val="ListNumber"/>
        <w:spacing w:line="240" w:lineRule="auto"/>
        <w:ind w:left="720"/>
      </w:pPr>
      <w:r/>
      <w:hyperlink r:id="rId11">
        <w:r>
          <w:rPr>
            <w:color w:val="0000EE"/>
            <w:u w:val="single"/>
          </w:rPr>
          <w:t>https://www.globenewswire.com/news-release/2025/10/22/3170933/0/en/Bluwhale-Secures-10-Million-Strategic-Series-A-in-Institutional-Funding.html</w:t>
        </w:r>
      </w:hyperlink>
      <w:r>
        <w:t xml:space="preserve"> - Bluwhale, a decentralized AI network powering agents on blockchains, has completed a $10 million Series A funding round. The lead investor is UOB Venture Management, a wholly owned subsidiary of United Overseas Bank, with participation from existing investor SBI Holdings and supporters from top blockchain ecosystems including Sui, Tezos, Cardano, Arbitrum, and Movement Labs. The funding will support Bluwhale's mission to make AI more open, secure, and scalable by running it on blockchains, assisting institutions in accelerating their digitization through the use of AI and agents.</w:t>
      </w:r>
      <w:r/>
    </w:p>
    <w:p>
      <w:pPr>
        <w:pStyle w:val="ListNumber"/>
        <w:spacing w:line="240" w:lineRule="auto"/>
        <w:ind w:left="720"/>
      </w:pPr>
      <w:r/>
      <w:hyperlink r:id="rId10">
        <w:r>
          <w:rPr>
            <w:color w:val="0000EE"/>
            <w:u w:val="single"/>
          </w:rPr>
          <w:t>https://www.globenewswire.com/news-release/2025/10/20/3169482/0/en/Turtle-Raises-an-Additional-5-5M-to-Expand-Its-Liquidity-Distribution-Network.html</w:t>
        </w:r>
      </w:hyperlink>
      <w:r>
        <w:t xml:space="preserve"> - Turtle, an on-chain liquidity distribution protocol, has secured an additional $5.5 million in funding, bringing its total to $11.7 million. This investment round included follow-on investors such as Bitscale VC, Theia, and Trident Digital, as well as new institutional investors like SNZ HOLDING, GSR, FalconX, and Anchorage VC. The funds will be used to expand Turtle's Earn infrastructure, grow its engineering team, and deepen integrations with protocols and ecosystems across multiple chains. Turtle aims to connect capital and protocols through a transparent, data-driven coordination layer, curating investment opportunities and distributing liquidity across an expanding network of partners.</w:t>
      </w:r>
      <w:r/>
    </w:p>
    <w:p>
      <w:pPr>
        <w:pStyle w:val="ListNumber"/>
        <w:spacing w:line="240" w:lineRule="auto"/>
        <w:ind w:left="720"/>
      </w:pPr>
      <w:r/>
      <w:hyperlink r:id="rId11">
        <w:r>
          <w:rPr>
            <w:color w:val="0000EE"/>
            <w:u w:val="single"/>
          </w:rPr>
          <w:t>https://www.globenewswire.com/news-release/2025/10/22/3170933/0/en/Bluwhale-Secures-10-Million-Strategic-Series-A-in-Institutional-Funding.html</w:t>
        </w:r>
      </w:hyperlink>
      <w:r>
        <w:t xml:space="preserve"> - Bluwhale, a decentralized AI network powering agents on blockchains, has completed a $10 million Series A funding round. The lead investor is UOB Venture Management, a wholly owned subsidiary of United Overseas Bank, with participation from existing investor SBI Holdings and supporters from top blockchain ecosystems including Sui, Tezos, Cardano, Arbitrum, and Movement Labs. The funding will support Bluwhale's mission to make AI more open, secure, and scalable by running it on blockchains, assisting institutions in accelerating their digitization through the use of AI and agents.</w:t>
      </w:r>
      <w:r/>
    </w:p>
    <w:p>
      <w:pPr>
        <w:pStyle w:val="ListNumber"/>
        <w:spacing w:line="240" w:lineRule="auto"/>
        <w:ind w:left="720"/>
      </w:pPr>
      <w:r/>
      <w:hyperlink r:id="rId10">
        <w:r>
          <w:rPr>
            <w:color w:val="0000EE"/>
            <w:u w:val="single"/>
          </w:rPr>
          <w:t>https://www.globenewswire.com/news-release/2025/10/20/3169482/0/en/Turtle-Raises-an-Additional-5-5M-to-Expand-Its-Liquidity-Distribution-Network.html</w:t>
        </w:r>
      </w:hyperlink>
      <w:r>
        <w:t xml:space="preserve"> - Turtle, an on-chain liquidity distribution protocol, has secured an additional $5.5 million in funding, bringing its total to $11.7 million. This investment round included follow-on investors such as Bitscale VC, Theia, and Trident Digital, as well as new institutional investors like SNZ HOLDING, GSR, FalconX, and Anchorage VC. The funds will be used to expand Turtle's Earn infrastructure, grow its engineering team, and deepen integrations with protocols and ecosystems across multiple chains. Turtle aims to connect capital and protocols through a transparent, data-driven coordination layer, curating investment opportunities and distributing liquidity across an expanding network of partners.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futunn.com/en/post/63815991/weekly-financing-report-18-disclosed-financing-events-with-yzi-labs" TargetMode="External"/><Relationship Id="rId10" Type="http://schemas.openxmlformats.org/officeDocument/2006/relationships/hyperlink" Target="https://www.globenewswire.com/news-release/2025/10/20/3169482/0/en/Turtle-Raises-an-Additional-5-5M-to-Expand-Its-Liquidity-Distribution-Network.html" TargetMode="External"/><Relationship Id="rId11" Type="http://schemas.openxmlformats.org/officeDocument/2006/relationships/hyperlink" Target="https://www.globenewswire.com/news-release/2025/10/22/3170933/0/en/Bluwhale-Secures-10-Million-Strategic-Series-A-in-Institutional-Funding.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