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Bridging the gap: how enterprises can scale AI from pilot to mainstream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is driving substantial transformation across industries by delivering measurable business value. In healthcare, AI expedites drug discovery processes; in finance, it enhances returns through algorithmic trading; and in supply chains, it anticipates disruptions before they occur. The advantages are quantifiable—automation cuts costs by reducing manual data handling, while AI-powered personalised marketing can boost conversion rates by as much as 30%. AI also improves operational efficiency, optimising logistics to reduce fuel consumption and shorten delivery times. Early AI adopters gain significant competitive advantages; for example, retailers deploying AI for inventory management have reported 20% fewer stockouts. Reflecting this trend, 80% of executives now view AI as a critical component of future strategy, and investments at the enterprise level have increased by 25% since 2023.</w:t>
      </w:r>
      <w:r/>
    </w:p>
    <w:p>
      <w:r/>
      <w:r>
        <w:t>However, despite the clear benefits, many organisations face considerable challenges scaling AI beyond pilot projects. These hurdles span technological, organisational, cultural, and regulatory domains. One primary obstacle is organisational misalignment around funding AI initiatives. Traditional budgeting and approval processes, designed for predictable returns and fixed scopes, often fail AI's iterative nature, leaving promising projects stuck in pilot phases without adequate resources. Many companies also lack integrated teams combining technical experts and business subject matter experts, where siloed structures and role ambiguity hinder deployment. Accessing timely, high-quality governed data remains a persistent bottleneck, with teams spending up to half their time cleaning or sourcing data due to legacy systems, governance gaps, and compliance hurdles. Furthermore, fragmented technology ecosystems hinder cohesive AI deployments; outdated infrastructure and standalone AI tools create costly "islands" of automation with limited reuse potential. Ethical and legal risks surrounding data privacy, intellectual property, fairness, and explainability add another layer of complexity, often slowing innovation or restricting deployment in customer-facing scenarios. Cultural resistance is another critical issue—without visible executive leadership, targeted education, and incentives aligned with AI adoption, frontline employees with essential domain knowledge may resist or block AI initiatives.</w:t>
      </w:r>
      <w:r/>
    </w:p>
    <w:p>
      <w:r/>
      <w:r>
        <w:t>To overcome these intertwined obstacles, a comprehensive approach exceeding a mere technology focus is essential. AIM Consulting, drawing on extensive experience, proposes the AI Adoption Accelerator—a structured framework designed to scale AI sustainably at enterprise level. The framework consists of five pillars that convert barriers into momentum.</w:t>
      </w:r>
      <w:r/>
    </w:p>
    <w:p>
      <w:r/>
      <w:r>
        <w:t>First, a scalable operating model employing a two-speed Hub-and-Spoke architecture balances innovation agility with consistent governance. The Hub establishes reusable data infrastructure and governance guardrails, empowering autonomous cross-functional Spokes consisting of data scientists, product owners, and business experts to execute priority use cases rapidly. Contrary to being a bottleneck, the Hub serves as an enabler, facilitating reuse of pre-built components and flexibly deploying talent pools where needed.</w:t>
      </w:r>
      <w:r/>
    </w:p>
    <w:p>
      <w:r/>
      <w:r>
        <w:t>Second, shifting from project-based to product-based portfolio management is crucial. Funding digital teams rather than one-off projects reflects AI development's iterative nature. Establishing dedicated program offices guides idea prioritisation by assessing use cases for business impact and feasibility, categorising them into exploration, quick wins, or strategic bets to optimise resource allocation.</w:t>
      </w:r>
      <w:r/>
    </w:p>
    <w:p>
      <w:r/>
      <w:r>
        <w:t>Third, technology infrastructure must strategically balance leveraging embedded AI within SaaS platforms for quick wins with building cross-platform orchestration layers to integrate complex workflows spanning legacy systems and emerging AI tools. This prevents costly vendor lock-in and supports scalable interoperability.</w:t>
      </w:r>
      <w:r/>
    </w:p>
    <w:p>
      <w:r/>
      <w:r>
        <w:t>Fourth, AI governance demands a deterministic control framework aligned with standards like NIST Risk Management and regulatory requirements such as GDPR. Organisations should begin with governance gap audits and implement phased controls addressing risks from bias and data privacy to intellectual property infringement. Layered safeguards—including technology metadata tracking, procedural review boards, and human-in-the-loop oversight—help balance innovation with responsible risk management.</w:t>
      </w:r>
      <w:r/>
    </w:p>
    <w:p>
      <w:r/>
      <w:r>
        <w:t>Fifth, effective organisational change management (OCM) is essential. AI redefines roles and processes; without deliberate OCM, 70% of digital transformations fail. Strategies include re-framing AI as human empowerment rather than job displacement, designing upskilling programs covering technical and organisational fluency, aligning incentives to AI use, and embedding frontline champions to sustain adoption. Tracking metrics like AI confidence surveys and sharing success stories further embeds cultural change.</w:t>
      </w:r>
      <w:r/>
    </w:p>
    <w:p>
      <w:r/>
      <w:r>
        <w:t>Supporting these pillars, broader industry insights highlight additional critical elements. Strategic clarity around AI objectives is vital to avoid unfocused investments and to align business and technology teams. Many organisations struggle with shadow AI projects lacking governance, and issues like model drift and hidden infrastructure costs hamper scaling efforts. Overcoming the shortage of skilled AI talent remains a formidable challenge, necessitating investments in upskilling and careful AI partner selection. Ethical, regulatory, and compliance complexities—especially prominent in sectors like healthcare—require continuous vigilance and tailored governance strategies. Cultural resistance and leadership inertia also frequently stall AI adoption despite recognised benefits.</w:t>
      </w:r>
      <w:r/>
    </w:p>
    <w:p>
      <w:r/>
      <w:r>
        <w:t>In practice, firms adopting similar frameworks report impressive gains; for instance, a financial services company implementing a comparable model deployed over a dozen AI applications within 18 months, reducing costs by 15% and improving fraud detection accuracy by 40%. Industry advisors consistently recommend starting AI scaling journeys with a comprehensive capability audit that assesses readiness across technology, governance, talent, and culture domains.</w:t>
      </w:r>
      <w:r/>
    </w:p>
    <w:p>
      <w:r/>
      <w:r>
        <w:t>In a competitive landscape where AI is rapidly becoming indispensable, the imperative for enterprises is clear: bridging the gap from successful pilots to scaled production is no longer optional. By embracing structured frameworks like the AI Adoption Accelerator and addressing technological, organisational, and cultural challenges holistically, enterprises can unlock AI's full transformative potential while managing associated risks effectively.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(AI Journ), </w:t>
      </w:r>
      <w:hyperlink r:id="rId10">
        <w:r>
          <w:rPr>
            <w:color w:val="0000EE"/>
            <w:u w:val="single"/>
          </w:rPr>
          <w:t>[2]</w:t>
        </w:r>
      </w:hyperlink>
      <w:r>
        <w:t xml:space="preserve"> (Inbenta)</w:t>
      </w:r>
      <w:r/>
    </w:p>
    <w:p>
      <w:pPr>
        <w:pStyle w:val="ListBullet"/>
        <w:spacing w:line="240" w:lineRule="auto"/>
        <w:ind w:left="720"/>
      </w:pPr>
      <w:r/>
      <w:r>
        <w:t xml:space="preserve">Paragraph 2 – </w:t>
      </w:r>
      <w:hyperlink r:id="rId9">
        <w:r>
          <w:rPr>
            <w:color w:val="0000EE"/>
            <w:u w:val="single"/>
          </w:rPr>
          <w:t>[1]</w:t>
        </w:r>
      </w:hyperlink>
      <w:r>
        <w:t xml:space="preserve"> (AI Journ), </w:t>
      </w:r>
      <w:hyperlink r:id="rId11">
        <w:r>
          <w:rPr>
            <w:color w:val="0000EE"/>
            <w:u w:val="single"/>
          </w:rPr>
          <w:t>[3]</w:t>
        </w:r>
      </w:hyperlink>
      <w:r>
        <w:t xml:space="preserve"> (Fingent), </w:t>
      </w:r>
      <w:hyperlink r:id="rId12">
        <w:r>
          <w:rPr>
            <w:color w:val="0000EE"/>
            <w:u w:val="single"/>
          </w:rPr>
          <w:t>[6]</w:t>
        </w:r>
      </w:hyperlink>
      <w:r>
        <w:t xml:space="preserve"> (ThakralOne)</w:t>
      </w:r>
      <w:r/>
    </w:p>
    <w:p>
      <w:pPr>
        <w:pStyle w:val="ListBullet"/>
        <w:spacing w:line="240" w:lineRule="auto"/>
        <w:ind w:left="720"/>
      </w:pPr>
      <w:r/>
      <w:r>
        <w:t xml:space="preserve">Paragraph 3 – </w:t>
      </w:r>
      <w:hyperlink r:id="rId9">
        <w:r>
          <w:rPr>
            <w:color w:val="0000EE"/>
            <w:u w:val="single"/>
          </w:rPr>
          <w:t>[1]</w:t>
        </w:r>
      </w:hyperlink>
      <w:r>
        <w:t xml:space="preserve"> (AI Journ), </w:t>
      </w:r>
      <w:hyperlink r:id="rId12">
        <w:r>
          <w:rPr>
            <w:color w:val="0000EE"/>
            <w:u w:val="single"/>
          </w:rPr>
          <w:t>[6]</w:t>
        </w:r>
      </w:hyperlink>
      <w:r>
        <w:t xml:space="preserve"> (ThakralOne), </w:t>
      </w:r>
      <w:hyperlink r:id="rId13">
        <w:r>
          <w:rPr>
            <w:color w:val="0000EE"/>
            <w:u w:val="single"/>
          </w:rPr>
          <w:t>[7]</w:t>
        </w:r>
      </w:hyperlink>
      <w:r>
        <w:t xml:space="preserve"> (SmartOSC)</w:t>
      </w:r>
      <w:r/>
    </w:p>
    <w:p>
      <w:pPr>
        <w:pStyle w:val="ListBullet"/>
        <w:spacing w:line="240" w:lineRule="auto"/>
        <w:ind w:left="720"/>
      </w:pPr>
      <w:r/>
      <w:r>
        <w:t xml:space="preserve">Paragraph 4 – </w:t>
      </w:r>
      <w:hyperlink r:id="rId9">
        <w:r>
          <w:rPr>
            <w:color w:val="0000EE"/>
            <w:u w:val="single"/>
          </w:rPr>
          <w:t>[1]</w:t>
        </w:r>
      </w:hyperlink>
      <w:r>
        <w:t xml:space="preserve"> (AI Journ)</w:t>
      </w:r>
      <w:r/>
    </w:p>
    <w:p>
      <w:pPr>
        <w:pStyle w:val="ListBullet"/>
        <w:spacing w:line="240" w:lineRule="auto"/>
        <w:ind w:left="720"/>
      </w:pPr>
      <w:r/>
      <w:r>
        <w:t xml:space="preserve">Paragraph 5 – </w:t>
      </w:r>
      <w:hyperlink r:id="rId9">
        <w:r>
          <w:rPr>
            <w:color w:val="0000EE"/>
            <w:u w:val="single"/>
          </w:rPr>
          <w:t>[1]</w:t>
        </w:r>
      </w:hyperlink>
      <w:r>
        <w:t xml:space="preserve"> (AI Journ)</w:t>
      </w:r>
      <w:r/>
    </w:p>
    <w:p>
      <w:pPr>
        <w:pStyle w:val="ListBullet"/>
        <w:spacing w:line="240" w:lineRule="auto"/>
        <w:ind w:left="720"/>
      </w:pPr>
      <w:r/>
      <w:r>
        <w:t xml:space="preserve">Paragraph 6 – </w:t>
      </w:r>
      <w:hyperlink r:id="rId9">
        <w:r>
          <w:rPr>
            <w:color w:val="0000EE"/>
            <w:u w:val="single"/>
          </w:rPr>
          <w:t>[1]</w:t>
        </w:r>
      </w:hyperlink>
      <w:r>
        <w:t xml:space="preserve"> (AI Journ)</w:t>
      </w:r>
      <w:r/>
    </w:p>
    <w:p>
      <w:pPr>
        <w:pStyle w:val="ListBullet"/>
        <w:spacing w:line="240" w:lineRule="auto"/>
        <w:ind w:left="720"/>
      </w:pPr>
      <w:r/>
      <w:r>
        <w:t xml:space="preserve">Paragraph 7 – </w:t>
      </w:r>
      <w:hyperlink r:id="rId9">
        <w:r>
          <w:rPr>
            <w:color w:val="0000EE"/>
            <w:u w:val="single"/>
          </w:rPr>
          <w:t>[1]</w:t>
        </w:r>
      </w:hyperlink>
      <w:r>
        <w:t xml:space="preserve"> (AI Journ), </w:t>
      </w:r>
      <w:hyperlink r:id="rId11">
        <w:r>
          <w:rPr>
            <w:color w:val="0000EE"/>
            <w:u w:val="single"/>
          </w:rPr>
          <w:t>[3]</w:t>
        </w:r>
      </w:hyperlink>
      <w:r>
        <w:t xml:space="preserve"> (Fingent), </w:t>
      </w:r>
      <w:hyperlink r:id="rId14">
        <w:r>
          <w:rPr>
            <w:color w:val="0000EE"/>
            <w:u w:val="single"/>
          </w:rPr>
          <w:t>[4]</w:t>
        </w:r>
      </w:hyperlink>
      <w:r>
        <w:t xml:space="preserve"> (Cubix), </w:t>
      </w:r>
      <w:hyperlink r:id="rId15">
        <w:r>
          <w:rPr>
            <w:color w:val="0000EE"/>
            <w:u w:val="single"/>
          </w:rPr>
          <w:t>[5]</w:t>
        </w:r>
      </w:hyperlink>
      <w:r>
        <w:t xml:space="preserve"> (OSP Labs), </w:t>
      </w:r>
      <w:hyperlink r:id="rId12">
        <w:r>
          <w:rPr>
            <w:color w:val="0000EE"/>
            <w:u w:val="single"/>
          </w:rPr>
          <w:t>[6]</w:t>
        </w:r>
      </w:hyperlink>
      <w:r>
        <w:t xml:space="preserve"> (ThakralOne), </w:t>
      </w:r>
      <w:hyperlink r:id="rId13">
        <w:r>
          <w:rPr>
            <w:color w:val="0000EE"/>
            <w:u w:val="single"/>
          </w:rPr>
          <w:t>[7]</w:t>
        </w:r>
      </w:hyperlink>
      <w:r>
        <w:t xml:space="preserve"> (SmartOSC)</w:t>
      </w:r>
      <w:r/>
    </w:p>
    <w:p>
      <w:pPr>
        <w:pStyle w:val="ListBullet"/>
        <w:spacing w:line="240" w:lineRule="auto"/>
        <w:ind w:left="720"/>
      </w:pPr>
      <w:r/>
      <w:r>
        <w:t xml:space="preserve">Paragraph 8 – </w:t>
      </w:r>
      <w:hyperlink r:id="rId9">
        <w:r>
          <w:rPr>
            <w:color w:val="0000EE"/>
            <w:u w:val="single"/>
          </w:rPr>
          <w:t>[1]</w:t>
        </w:r>
      </w:hyperlink>
      <w:r>
        <w:t xml:space="preserve"> (AI Journ)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https://aijourn.com/accelerating-ai-a-practical-path-to-scalable-adoption/</w:t>
        </w:r>
      </w:hyperlink>
      <w:r>
        <w:t xml:space="preserve"> - Please view link - unable to able to access data</w:t>
      </w:r>
      <w:r/>
    </w:p>
    <w:p>
      <w:pPr>
        <w:pStyle w:val="ListNumber"/>
        <w:spacing w:line="240" w:lineRule="auto"/>
        <w:ind w:left="720"/>
      </w:pPr>
      <w:r/>
      <w:hyperlink r:id="rId10">
        <w:r>
          <w:rPr>
            <w:color w:val="0000EE"/>
            <w:u w:val="single"/>
          </w:rPr>
          <w:t>https://www.inbenta.com/articles/5-challenges-businesses-face-in-adopting-ai-at-scale/</w:t>
        </w:r>
      </w:hyperlink>
      <w:r>
        <w:t xml:space="preserve"> - This article discusses five key challenges businesses encounter when scaling AI adoption: lack of measurable business objectives, data and knowledge management issues, shortage of AI expertise, choosing the wrong AI partner, and organisational resistance to change. It emphasises the importance of a strategic approach, including establishing AI Centres of Excellence, developing comprehensive AI strategies, investing in data infrastructure and governance, fostering AI literacy, and focusing on continuous improvement to overcome these obstacles and unlock AI's full potential.</w:t>
      </w:r>
      <w:r/>
    </w:p>
    <w:p>
      <w:pPr>
        <w:pStyle w:val="ListNumber"/>
        <w:spacing w:line="240" w:lineRule="auto"/>
        <w:ind w:left="720"/>
      </w:pPr>
      <w:r/>
      <w:hyperlink r:id="rId11">
        <w:r>
          <w:rPr>
            <w:color w:val="0000EE"/>
            <w:u w:val="single"/>
          </w:rPr>
          <w:t>https://www.fingent.com/blog/ai-adoption-in-enterprises-breaking-down-barriers-and-realizing-value/</w:t>
        </w:r>
      </w:hyperlink>
      <w:r>
        <w:t xml:space="preserve"> - This article examines the risks and blockers of scaling AI across organisations, highlighting issues such as shadow AI and rogue projects, model drift and maintenance burden, lack of interoperability standards, hidden costs of scaling infrastructure, and cultural misalignment between business and IT. It underscores the need for effective governance, understanding AI model operations, and addressing integration challenges to realise AI's value and mitigate potential risks.</w:t>
      </w:r>
      <w:r/>
    </w:p>
    <w:p>
      <w:pPr>
        <w:pStyle w:val="ListNumber"/>
        <w:spacing w:line="240" w:lineRule="auto"/>
        <w:ind w:left="720"/>
      </w:pPr>
      <w:r/>
      <w:hyperlink r:id="rId14">
        <w:r>
          <w:rPr>
            <w:color w:val="0000EE"/>
            <w:u w:val="single"/>
          </w:rPr>
          <w:t>https://www.cubix.co/blog/strategies-for-scaling-ai-adoption-in-organizations/</w:t>
        </w:r>
      </w:hyperlink>
      <w:r>
        <w:t xml:space="preserve"> - This article outlines six smart strategies to boost AI adoption in businesses: establishing a clear AI strategy, addressing the shortage of AI talent, overcoming leadership inertia, managing the fear of the unknown, ensuring data readiness, and navigating regulatory and ethical concerns. It provides insights into overcoming common hurdles in AI adoption and offers practical solutions for organisations aiming to scale AI effectively.</w:t>
      </w:r>
      <w:r/>
    </w:p>
    <w:p>
      <w:pPr>
        <w:pStyle w:val="ListNumber"/>
        <w:spacing w:line="240" w:lineRule="auto"/>
        <w:ind w:left="720"/>
      </w:pPr>
      <w:r/>
      <w:hyperlink r:id="rId15">
        <w:r>
          <w:rPr>
            <w:color w:val="0000EE"/>
            <w:u w:val="single"/>
          </w:rPr>
          <w:t>https://www.osplabs.com/insights/why-scaling-ai-is-harder-than-you-think/</w:t>
        </w:r>
      </w:hyperlink>
      <w:r>
        <w:t xml:space="preserve"> - This article explores the challenges of scaling AI adoption in healthcare, including maintaining data accuracy, security, and compliance, talent and skills gaps, regulatory and ethical concerns, and financial and resource constraints. It highlights the complexities organisations face in integrating AI into healthcare practices and offers insights into addressing these obstacles to achieve successful AI implementation.</w:t>
      </w:r>
      <w:r/>
    </w:p>
    <w:p>
      <w:pPr>
        <w:pStyle w:val="ListNumber"/>
        <w:spacing w:line="240" w:lineRule="auto"/>
        <w:ind w:left="720"/>
      </w:pPr>
      <w:r/>
      <w:hyperlink r:id="rId12">
        <w:r>
          <w:rPr>
            <w:color w:val="0000EE"/>
            <w:u w:val="single"/>
          </w:rPr>
          <w:t>https://www.thakralone.com/stories/ai-8-challenges/</w:t>
        </w:r>
      </w:hyperlink>
      <w:r>
        <w:t xml:space="preserve"> - This article identifies eight key challenges in enterprise AI adoption: lack of strategic alignment and weak executive sponsorship, overestimation of AI maturity, data fragmentation and poor quality, ethical, compliance, and governance concerns, failure to scale pilots beyond experimentation, technical challenges in embedding AI into operations, skills shortages and resistance to change, and fading momentum post-launch without a clear innovation engine. It provides a structured approach to help enterprises transition from AI experimentation to enterprise-wide impact.</w:t>
      </w:r>
      <w:r/>
    </w:p>
    <w:p>
      <w:pPr>
        <w:pStyle w:val="ListNumber"/>
        <w:spacing w:line="240" w:lineRule="auto"/>
        <w:ind w:left="720"/>
      </w:pPr>
      <w:r/>
      <w:hyperlink r:id="rId13">
        <w:r>
          <w:rPr>
            <w:color w:val="0000EE"/>
            <w:u w:val="single"/>
          </w:rPr>
          <w:t>https://www.smartosc.com/ai-adoption-challenges-explained-why-companies-struggle-implement-ai/</w:t>
        </w:r>
      </w:hyperlink>
      <w:r>
        <w:t xml:space="preserve"> - This article discusses top AI adoption challenges companies face, including lack of AI talent and expertise, poor data quality or accessibility, and organisational resistance to change. It emphasises the importance of addressing these challenges to effectively implement AI solutions and highlights the need for strategic planning, investment in talent development, and fostering a culture receptive to AI integration.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journ.com/accelerating-ai-a-practical-path-to-scalable-adoption/" TargetMode="External"/><Relationship Id="rId10" Type="http://schemas.openxmlformats.org/officeDocument/2006/relationships/hyperlink" Target="https://www.inbenta.com/articles/5-challenges-businesses-face-in-adopting-ai-at-scale/" TargetMode="External"/><Relationship Id="rId11" Type="http://schemas.openxmlformats.org/officeDocument/2006/relationships/hyperlink" Target="https://www.fingent.com/blog/ai-adoption-in-enterprises-breaking-down-barriers-and-realizing-value/" TargetMode="External"/><Relationship Id="rId12" Type="http://schemas.openxmlformats.org/officeDocument/2006/relationships/hyperlink" Target="https://www.thakralone.com/stories/ai-8-challenges/" TargetMode="External"/><Relationship Id="rId13" Type="http://schemas.openxmlformats.org/officeDocument/2006/relationships/hyperlink" Target="https://www.smartosc.com/ai-adoption-challenges-explained-why-companies-struggle-implement-ai/" TargetMode="External"/><Relationship Id="rId14" Type="http://schemas.openxmlformats.org/officeDocument/2006/relationships/hyperlink" Target="https://www.cubix.co/blog/strategies-for-scaling-ai-adoption-in-organizations/" TargetMode="External"/><Relationship Id="rId15" Type="http://schemas.openxmlformats.org/officeDocument/2006/relationships/hyperlink" Target="https://www.osplabs.com/insights/why-scaling-ai-is-harder-than-you-thin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