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shift focus from experimentation to strategic integration to unlock AI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enterprises navigate the rapidly evolving AI landscape, a pivotal question arises: How can organisations transcend early experimentation to unlock sustainable, long-term value from AI investments? Despite widespread adoption—with over 70% of enterprises implementing AI solutions by September 2025—many have yet to achieve meaningful returns, highlighting a crucial misalignment between technology use and strategic intent.</w:t>
      </w:r>
      <w:r/>
    </w:p>
    <w:p>
      <w:r/>
      <w:r>
        <w:t>According to the Digital Silk AI Statistics Report 2025, although firms are investing substantial sums, averaging nearly US$1.9 million in 2024 alone, fewer than 30% of CEOs express satisfaction with the outcomes. This discrepancy is less about technology underperformance and more about fragmented, siloed deployments that fall short of enterprise-wide integration. Gartner's Hype Cycle for Artificial Intelligence 2024 underscores how isolated "micro-initiatives," often driven by initial generative AI enthusiasm, lack the scale and connectivity needed for transformative impact.</w:t>
      </w:r>
      <w:r/>
    </w:p>
    <w:p>
      <w:r/>
      <w:r>
        <w:t>The path forward requires embedding AI deeply within core business strategies, focusing on high-impact use cases underpinned by operational relevance. Challenges arise because general-purpose AI tools struggle with specialized, high-stakes enterprise problems, where nuanced domain expertise is essential for success. Leaders must therefore reconceptualise AI not merely as an automation tool but as a powerful augmentation aid, harmoniously integrated into human workflows to amplify productivity and decision-making.</w:t>
      </w:r>
      <w:r/>
    </w:p>
    <w:p>
      <w:r/>
      <w:r>
        <w:t>Emerging evidence supports this strategic shift. Studies demonstrate productivity improvements ranging from 5% to over 25% in domains such as customer support, software development, and consulting. For example, a recent real-world evaluation revealed AI-assisted software development tools resulted in a 31.8% reduction in pull request review times and a 28% increase in code shipments, illustrating the tangible benefits of embedding AI seamlessly within specialized workflows.</w:t>
      </w:r>
      <w:r/>
    </w:p>
    <w:p>
      <w:r/>
      <w:r>
        <w:t>However, success hinges on much more than technology alone. A major barrier to effective AI adoption remains cultural misalignment within organisations, particularly between C-suite executives and frontline employees. Reports indicate that nearly 70% of executives observe tension between departments and a lack of cross-functional collaboration on AI initiatives. In response, companies with formal and responsible AI frameworks—embedding ethical guidelines, data accountability, and transparency—consistently report notably higher workforce engagement and adoption rates, with structured strategies achieving 80% success compared to 37% for those without.</w:t>
      </w:r>
      <w:r/>
    </w:p>
    <w:p>
      <w:r/>
      <w:r>
        <w:t>This interplay between culture and governance is especially critical in regions like Southeast Asia, where optimism about AI adoption runs high but confidence in employees’ capabilities to use AI responsibly is comparatively low. Deloitte's research highlights that fewer than two-thirds of organisations in the region believe their workforce is adequately prepared, underscoring the urgent need for robust governance and training programmes to build trust and scalability in AI deployments.</w:t>
      </w:r>
      <w:r/>
    </w:p>
    <w:p>
      <w:r/>
      <w:r>
        <w:t>Governance challenges also persist in mature markets. For instance, EY's 2025 survey of Singaporean firms shows all have integrated AI widely, yet just over half have moderate to strong controls to mitigate emerging AI risks, pointing to a gap between adoption enthusiasm and risk management readiness. These findings reinforce the necessity of balancing rapid AI deployment with ethical considerations around privacy, bias, and social impact.</w:t>
      </w:r>
      <w:r/>
    </w:p>
    <w:p>
      <w:r/>
      <w:r>
        <w:t>Ultimately, sustainable AI-driven growth depends on shifting workforce strategies from static, role-based models to dynamic, skills-based frameworks prioritising data literacy, adaptability, and systems thinking. Cross-functional AI literacy training for non-technical employees plays a critical role in demystifying AI and fostering organisation-wide confidence and collaboration.</w:t>
      </w:r>
      <w:r/>
    </w:p>
    <w:p>
      <w:r/>
      <w:r>
        <w:t>Singapore's impressive ranking as the second-highest globally in AI readiness, according to Salesforce’s Global AI Readiness Index 2025, exemplifies how national strategies promoting cohesive AI adoption and ecosystem development can accelerate enterprise success. Meanwhile, research from Japan shows that younger executives are more inclined to invest in AI, correlating with a measurable 2.4% productivity boost, suggesting that leadership demographics influence both strategy and outcomes.</w:t>
      </w:r>
      <w:r/>
    </w:p>
    <w:p>
      <w:r/>
      <w:r>
        <w:t>As AI becomes an indispensable backbone of modern enterprises, speed alone will not guarantee success. Instead, organisations must prioritise strategic clarity, resilient growth, and quality execution—anchoring AI projects to well-defined outcomes and integrating continuous feedback through flexible KPIs. Viewing technology and talent as intertwined assets fosters a culture of co-prosperity, particularly vital in Asia-Pacific's dynamic markets.</w:t>
      </w:r>
      <w:r/>
    </w:p>
    <w:p>
      <w:r/>
      <w:r>
        <w:t>In essence, the new enterprise AI culture demands placing people at the centre, supported by strong governance and a unified strategy. By doing so, companies can transform AI from a fragmented set of experiments into a sustainable engine of innovation, enabling smarter, more connected, and shared growth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(Frontier Enterprise) </w:t>
      </w:r>
      <w:r/>
    </w:p>
    <w:p>
      <w:pPr>
        <w:pStyle w:val="ListBullet"/>
        <w:spacing w:line="240" w:lineRule="auto"/>
        <w:ind w:left="720"/>
      </w:pPr>
      <w:r/>
      <w:r>
        <w:t xml:space="preserve">Paragraph 2 – </w:t>
      </w:r>
      <w:hyperlink r:id="rId9">
        <w:r>
          <w:rPr>
            <w:color w:val="0000EE"/>
            <w:u w:val="single"/>
          </w:rPr>
          <w:t>[1]</w:t>
        </w:r>
      </w:hyperlink>
      <w:r>
        <w:t xml:space="preserve"> (Frontier Enterprise), </w:t>
      </w:r>
      <w:hyperlink r:id="rId10">
        <w:r>
          <w:rPr>
            <w:color w:val="0000EE"/>
            <w:u w:val="single"/>
          </w:rPr>
          <w:t>[2]</w:t>
        </w:r>
      </w:hyperlink>
      <w:r>
        <w:t xml:space="preserve"> (Infosys) </w:t>
      </w:r>
      <w:r/>
    </w:p>
    <w:p>
      <w:pPr>
        <w:pStyle w:val="ListBullet"/>
        <w:spacing w:line="240" w:lineRule="auto"/>
        <w:ind w:left="720"/>
      </w:pPr>
      <w:r/>
      <w:r>
        <w:t xml:space="preserve">Paragraph 3 – </w:t>
      </w:r>
      <w:hyperlink r:id="rId9">
        <w:r>
          <w:rPr>
            <w:color w:val="0000EE"/>
            <w:u w:val="single"/>
          </w:rPr>
          <w:t>[1]</w:t>
        </w:r>
      </w:hyperlink>
      <w:r>
        <w:t xml:space="preserve"> (Frontier Enterprise), </w:t>
      </w:r>
      <w:hyperlink r:id="rId11">
        <w:r>
          <w:rPr>
            <w:color w:val="0000EE"/>
            <w:u w:val="single"/>
          </w:rPr>
          <w:t>[4]</w:t>
        </w:r>
      </w:hyperlink>
      <w:r>
        <w:t xml:space="preserve"> (arXiv) </w:t>
      </w:r>
      <w:r/>
    </w:p>
    <w:p>
      <w:pPr>
        <w:pStyle w:val="ListBullet"/>
        <w:spacing w:line="240" w:lineRule="auto"/>
        <w:ind w:left="720"/>
      </w:pPr>
      <w:r/>
      <w:r>
        <w:t xml:space="preserve">Paragraph 4 – </w:t>
      </w:r>
      <w:hyperlink r:id="rId9">
        <w:r>
          <w:rPr>
            <w:color w:val="0000EE"/>
            <w:u w:val="single"/>
          </w:rPr>
          <w:t>[1]</w:t>
        </w:r>
      </w:hyperlink>
      <w:r>
        <w:t xml:space="preserve"> (Frontier Enterprise), </w:t>
      </w:r>
      <w:hyperlink r:id="rId12">
        <w:r>
          <w:rPr>
            <w:color w:val="0000EE"/>
            <w:u w:val="single"/>
          </w:rPr>
          <w:t>[5]</w:t>
        </w:r>
      </w:hyperlink>
      <w:r>
        <w:t xml:space="preserve"> (Deloitte) </w:t>
      </w:r>
      <w:r/>
    </w:p>
    <w:p>
      <w:pPr>
        <w:pStyle w:val="ListBullet"/>
        <w:spacing w:line="240" w:lineRule="auto"/>
        <w:ind w:left="720"/>
      </w:pPr>
      <w:r/>
      <w:r>
        <w:t xml:space="preserve">Paragraph 5 – </w:t>
      </w:r>
      <w:hyperlink r:id="rId12">
        <w:r>
          <w:rPr>
            <w:color w:val="0000EE"/>
            <w:u w:val="single"/>
          </w:rPr>
          <w:t>[5]</w:t>
        </w:r>
      </w:hyperlink>
      <w:r>
        <w:t xml:space="preserve"> (Deloitte), </w:t>
      </w:r>
      <w:hyperlink r:id="rId13">
        <w:r>
          <w:rPr>
            <w:color w:val="0000EE"/>
            <w:u w:val="single"/>
          </w:rPr>
          <w:t>[7]</w:t>
        </w:r>
      </w:hyperlink>
      <w:r>
        <w:t xml:space="preserve"> (EY) </w:t>
      </w:r>
      <w:r/>
    </w:p>
    <w:p>
      <w:pPr>
        <w:pStyle w:val="ListBullet"/>
        <w:spacing w:line="240" w:lineRule="auto"/>
        <w:ind w:left="720"/>
      </w:pPr>
      <w:r/>
      <w:r>
        <w:t xml:space="preserve">Paragraph 6 – </w:t>
      </w:r>
      <w:hyperlink r:id="rId9">
        <w:r>
          <w:rPr>
            <w:color w:val="0000EE"/>
            <w:u w:val="single"/>
          </w:rPr>
          <w:t>[1]</w:t>
        </w:r>
      </w:hyperlink>
      <w:r>
        <w:t xml:space="preserve"> (Frontier Enterprise), </w:t>
      </w:r>
      <w:hyperlink r:id="rId14">
        <w:r>
          <w:rPr>
            <w:color w:val="0000EE"/>
            <w:u w:val="single"/>
          </w:rPr>
          <w:t>[3]</w:t>
        </w:r>
      </w:hyperlink>
      <w:r>
        <w:t xml:space="preserve"> (Salesforce), </w:t>
      </w:r>
      <w:hyperlink r:id="rId15">
        <w:r>
          <w:rPr>
            <w:color w:val="0000EE"/>
            <w:u w:val="single"/>
          </w:rPr>
          <w:t>[6]</w:t>
        </w:r>
      </w:hyperlink>
      <w:r>
        <w:t xml:space="preserve"> (arXiv) </w:t>
      </w:r>
      <w:r/>
    </w:p>
    <w:p>
      <w:pPr>
        <w:pStyle w:val="ListBullet"/>
        <w:spacing w:line="240" w:lineRule="auto"/>
        <w:ind w:left="720"/>
      </w:pPr>
      <w:r/>
      <w:r>
        <w:t xml:space="preserve">Paragraph 7 – </w:t>
      </w:r>
      <w:hyperlink r:id="rId9">
        <w:r>
          <w:rPr>
            <w:color w:val="0000EE"/>
            <w:u w:val="single"/>
          </w:rPr>
          <w:t>[1]</w:t>
        </w:r>
      </w:hyperlink>
      <w:r>
        <w:t xml:space="preserve"> (Frontier Enterprise)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https://www.frontier-enterprise.com/enterprise-ai-culture-is-the-new-strategy/</w:t>
        </w:r>
      </w:hyperlink>
      <w:r>
        <w:t xml:space="preserve"> - Please view link - unable to able to access data</w:t>
      </w:r>
      <w:r/>
    </w:p>
    <w:p>
      <w:pPr>
        <w:pStyle w:val="ListNumber"/>
        <w:spacing w:line="240" w:lineRule="auto"/>
        <w:ind w:left="720"/>
      </w:pPr>
      <w:r/>
      <w:hyperlink r:id="rId10">
        <w:r>
          <w:rPr>
            <w:color w:val="0000EE"/>
            <w:u w:val="single"/>
          </w:rPr>
          <w:t>https://www.infosys.com/newsroom/press-releases/2024/enterprise-ai-readiness.html</w:t>
        </w:r>
      </w:hyperlink>
      <w:r>
        <w:t xml:space="preserve"> - Infosys' 2024 Enterprise AI Readiness report reveals that while companies globally recognise the potential of AI, most are far from fully integrating it into their operations due to significant gaps in basic AI readiness. The study highlights the need for enterprises to prepare in five key areas—strategy, governance, talent, data, and technology—to achieve substantial productivity gains from AI.</w:t>
      </w:r>
      <w:r/>
    </w:p>
    <w:p>
      <w:pPr>
        <w:pStyle w:val="ListNumber"/>
        <w:spacing w:line="240" w:lineRule="auto"/>
        <w:ind w:left="720"/>
      </w:pPr>
      <w:r/>
      <w:hyperlink r:id="rId14">
        <w:r>
          <w:rPr>
            <w:color w:val="0000EE"/>
            <w:u w:val="single"/>
          </w:rPr>
          <w:t>https://www.salesforce.com/ap/news/press-releases/2025/07/31/singapore-ranks-second-globally-in-ai-readiness-salesforce-study/</w:t>
        </w:r>
      </w:hyperlink>
      <w:r>
        <w:t xml:space="preserve"> - Salesforce's Global AI Readiness Index 2025 ranks Singapore second globally in overall AI readiness, underscoring the nation's success in AI transformation. The study evaluates AI readiness across 16 global markets, highlighting Singapore's strong position in Asia-Pacific and the effectiveness of its national AI strategy in driving AI adoption.</w:t>
      </w:r>
      <w:r/>
    </w:p>
    <w:p>
      <w:pPr>
        <w:pStyle w:val="ListNumber"/>
        <w:spacing w:line="240" w:lineRule="auto"/>
        <w:ind w:left="720"/>
      </w:pPr>
      <w:r/>
      <w:hyperlink r:id="rId11">
        <w:r>
          <w:rPr>
            <w:color w:val="0000EE"/>
            <w:u w:val="single"/>
          </w:rPr>
          <w:t>https://arxiv.org/abs/2509.19708</w:t>
        </w:r>
      </w:hyperlink>
      <w:r>
        <w:t xml:space="preserve"> - A comprehensive real-world evaluation of AI-assisted software development tools deployed at enterprise scale demonstrates statistically significant productivity improvements. The study shows a 31.8% reduction in pull request review cycle time and a 28% increase in code shipment volume, highlighting the transformative potential of integrating AI into enterprise software development workflows.</w:t>
      </w:r>
      <w:r/>
    </w:p>
    <w:p>
      <w:pPr>
        <w:pStyle w:val="ListNumber"/>
        <w:spacing w:line="240" w:lineRule="auto"/>
        <w:ind w:left="720"/>
      </w:pPr>
      <w:r/>
      <w:hyperlink r:id="rId12">
        <w:r>
          <w:rPr>
            <w:color w:val="0000EE"/>
            <w:u w:val="single"/>
          </w:rPr>
          <w:t>https://www.deloitte.com/southeast-asia/en/about/press-room/deloitte-report-fewer-than-two-thirds-of-organisations-in-sea-believe-their-employees-have-the-capabilities-to-use-ai-responsibly.html</w:t>
        </w:r>
      </w:hyperlink>
      <w:r>
        <w:t xml:space="preserve"> - Deloitte's report reveals that fewer than two-thirds of organisations in Southeast Asia believe their employees have the capabilities to use AI responsibly. The study highlights the need for robust AI governance frameworks to enable businesses to adopt AI effectively, build customer trust, and create paths to value and scale.</w:t>
      </w:r>
      <w:r/>
    </w:p>
    <w:p>
      <w:pPr>
        <w:pStyle w:val="ListNumber"/>
        <w:spacing w:line="240" w:lineRule="auto"/>
        <w:ind w:left="720"/>
      </w:pPr>
      <w:r/>
      <w:hyperlink r:id="rId15">
        <w:r>
          <w:rPr>
            <w:color w:val="0000EE"/>
            <w:u w:val="single"/>
          </w:rPr>
          <w:t>https://arxiv.org/abs/2508.03757</w:t>
        </w:r>
      </w:hyperlink>
      <w:r>
        <w:t xml:space="preserve"> - This paper investigates how executive demographics, particularly age and gender, influence AI investment decisions and subsequent firm productivity in Japanese enterprises. Findings indicate that younger executives are more likely to adopt AI technologies, with AI investment leading to a statistically significant 2.4% increase in total factor productivity.</w:t>
      </w:r>
      <w:r/>
    </w:p>
    <w:p>
      <w:pPr>
        <w:pStyle w:val="ListNumber"/>
        <w:spacing w:line="240" w:lineRule="auto"/>
        <w:ind w:left="720"/>
      </w:pPr>
      <w:r/>
      <w:hyperlink r:id="rId13">
        <w:r>
          <w:rPr>
            <w:color w:val="0000EE"/>
            <w:u w:val="single"/>
          </w:rPr>
          <w:t>https://www.ey.com/en_sg/newsroom/2025/07/ai-adoption-outpaces-governance-as-risk-awareness-among-the-c-suite-remains-low</w:t>
        </w:r>
      </w:hyperlink>
      <w:r>
        <w:t xml:space="preserve"> - EY's 2025 Responsible AI Pulse survey indicates that while all Singaporean organisations have integrated AI into most initiatives, only 53% have moderate to strong controls to protect AI systems from threats. The survey highlights a gap between AI adoption and governance, with many organisations lacking sufficient risk management practices for emerging AI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ontier-enterprise.com/enterprise-ai-culture-is-the-new-strategy/" TargetMode="External"/><Relationship Id="rId10" Type="http://schemas.openxmlformats.org/officeDocument/2006/relationships/hyperlink" Target="https://www.infosys.com/newsroom/press-releases/2024/enterprise-ai-readiness.html" TargetMode="External"/><Relationship Id="rId11" Type="http://schemas.openxmlformats.org/officeDocument/2006/relationships/hyperlink" Target="https://arxiv.org/abs/2509.19708" TargetMode="External"/><Relationship Id="rId12" Type="http://schemas.openxmlformats.org/officeDocument/2006/relationships/hyperlink" Target="https://www.deloitte.com/southeast-asia/en/about/press-room/deloitte-report-fewer-than-two-thirds-of-organisations-in-sea-believe-their-employees-have-the-capabilities-to-use-ai-responsibly.html" TargetMode="External"/><Relationship Id="rId13" Type="http://schemas.openxmlformats.org/officeDocument/2006/relationships/hyperlink" Target="https://www.ey.com/en_sg/newsroom/2025/07/ai-adoption-outpaces-governance-as-risk-awareness-among-the-c-suite-remains-low" TargetMode="External"/><Relationship Id="rId14" Type="http://schemas.openxmlformats.org/officeDocument/2006/relationships/hyperlink" Target="https://www.salesforce.com/ap/news/press-releases/2025/07/31/singapore-ranks-second-globally-in-ai-readiness-salesforce-study/" TargetMode="External"/><Relationship Id="rId15" Type="http://schemas.openxmlformats.org/officeDocument/2006/relationships/hyperlink" Target="https://arxiv.org/abs/2508.0375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