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Visualising Large Language Models boosts AI literacy and unlocks industry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Large Language Models (LLMs) have become central to the rapidly evolving landscape of artificial intelligence, offering capabilities that span generating human-like text, answering complex questions, translating languages, and summarizing information. Recent efforts to visualise and demystify the inner workings of LLMs have gained traction, aiming to make this sophisticated technology more accessible to non-experts and foster broader AI literacy. Visual aids, such as a widely circulated infographic by the God of Prompt account on social media, succinctly break down key components of LLMs including tokenization (where text is segmented into smaller units), embedding layers that transform tokens into numerical representations, and transformer architectures that process sequences via attention mechanisms. These educational tools align with a broader industry push to clarify AI's mechanisms as the global AI market is projected to reach $184 billion by 2025, largely driven by advances in LLM technology.</w:t>
      </w:r>
      <w:r/>
    </w:p>
    <w:p>
      <w:r/>
      <w:r>
        <w:t>The impact of LLMs extends deeply into multiple sectors. According to McKinsey &amp; Company reports, these models have revolutionised natural language processing applications in customer service, content creation, and data analysis. For instance, e-commerce giants such as Amazon have harnessed LLMs for personalised product recommendations, reportedly boosting sales by up to 35%. Meanwhile, Microsoft’s integration of LLMs into its Azure cloud services has secured a significant 25% market share in the cloud AI domain. Financially, generative AI powered by LLMs could add between $2.6 trillion and $4.4 trillion annually to the global economy by 2030. However, the proliferation of LLMs demands careful navigation of challenges including data privacy, regulatory compliance, and substantial computational requirements. A Deloitte survey revealed that 40% of companies face hurdles scaling LLMs compliantly under frameworks such as the EU AI Act, effective from 2024. Strategies like federated learning, which train models without centralising sensitive data, offer promising solutions.</w:t>
      </w:r>
      <w:r/>
    </w:p>
    <w:p>
      <w:r/>
      <w:r>
        <w:t>Technically, LLMs operate on transformer architectures first introduced in the seminal 2017 "Attention Is All You Need" paper. This design enables efficient parallel processing of sequences, a key to managing the enormous data these models require. Recent innovations such as Meta’s Llama series have reduced training time dramatically, allowing models to be fine-tuned locally on consumer hardware in days rather than months. Addressing issues like hallucinations—where models generate incorrect outputs—has led to the adoption of retrieval-augmented generation (RAG), which integrates external knowledge bases to improve accuracy. Efficiency gains continue with quantization techniques that shrink model sizes by up to 75% without substantial loss of performance, facilitating deployment on edge devices. Market data reflects these trends; for example, NVIDIA reported a 150% year-over-year surge in AI chip demand during Q2 2024, underscoring commercial momentum behind LLM training.</w:t>
      </w:r>
      <w:r/>
    </w:p>
    <w:p>
      <w:r/>
      <w:r>
        <w:t>The competitive landscape of LLMs is both diverse and dynamic. OpenAI’s GPT series remains the market leader, with GPT-4o offering enhanced intelligence, reduced latency, and multimodal capabilities that process text, images, and audio in real time. GitHub Copilot, built on GPT-4, excels in code generation, while Meta’s Llama 3 provides an open-source, cost-effective alternative suitable for local use. Anthropic’s Claude 3 targets business users with its large context window and complex task reasoning, albeit at a higher cost. Other notable players include Alibaba’s Qwen-1.5 for multilingual chatbots and Google’s Gemini 1.5, specialised in translation with rich contextual understanding. Open-source initiatives such as EleutherAI's GPT-J foster innovation by democratizing access, while enterprises often blend Large and Small Language Models (SLMs) to optimise efficiency, accuracy, and data privacy — particularly in regulated sectors like law, finance, and healthcare where domain-specific precision is critical.</w:t>
      </w:r>
      <w:r/>
    </w:p>
    <w:p>
      <w:r/>
      <w:r>
        <w:t>Ethical considerations remain paramount in LLM deployment. Guidelines from organisations like the Partnership on AI emphasise the necessity of regular bias audits and transparency, including the publication of detailed model cards describing capabilities and limitations. Regulatory frameworks, including the U.S. Executive Order on AI from 2023, underscore the importance of responsible deployment, prompting companies to invest in compliance and safety tools. Looking ahead, LLMs are expected to evolve further into multimodal systems by 2026, blending text, image, and audio processing, opening opportunities in media, entertainment, and real-time Internet of Things (IoT) applications. PwC’s Global Entertainment and Media Outlook forecasts a potential $500 billion market impact, while MarketsandMarkets predicts edge LLM deployments could grow to a $50 billion market by 2027. Practical business applications are already evident, from automating legal document reviews which reportedly reduce firm costs by 20-30%, to enhancing predictive analytics in supply chains.</w:t>
      </w:r>
      <w:r/>
    </w:p>
    <w:p>
      <w:r/>
      <w:r>
        <w:t>For businesses seeking to implement LLMs, starting with cloud API services from providers like OpenAI is a common approach, with subsequent fine-tuning for specific applications balanced by robust data security measures. However, risks such as biased outputs and high energy consumption persist, requiring ongoing audits and adoption of efficient architectures. Meanwhile, educational initiatives that visualise and explain LLM inner workings are indispensable for fostering wider understanding and innovation, equipping developers, businesses, and stakeholders to navigate the expanding role of these powerful AI models.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hyperlink r:id="rId9">
        <w:r>
          <w:rPr>
            <w:color w:val="0000EE"/>
            <w:u w:val="single"/>
          </w:rPr>
          <w:t>[6]</w:t>
        </w:r>
      </w:hyperlink>
      <w:r>
        <w:t xml:space="preserve"> (Blockchain News) </w:t>
      </w:r>
      <w:r/>
    </w:p>
    <w:p>
      <w:pPr>
        <w:pStyle w:val="ListBullet"/>
        <w:spacing w:line="240" w:lineRule="auto"/>
        <w:ind w:left="720"/>
      </w:pPr>
      <w:r/>
      <w:r>
        <w:t xml:space="preserve">Paragraph 2 – </w:t>
      </w:r>
      <w:hyperlink r:id="rId9">
        <w:r>
          <w:rPr>
            <w:color w:val="0000EE"/>
            <w:u w:val="single"/>
          </w:rPr>
          <w:t>[1]</w:t>
        </w:r>
      </w:hyperlink>
      <w:hyperlink r:id="rId9">
        <w:r>
          <w:rPr>
            <w:color w:val="0000EE"/>
            <w:u w:val="single"/>
          </w:rPr>
          <w:t>[6]</w:t>
        </w:r>
      </w:hyperlink>
      <w:r>
        <w:t xml:space="preserve"> (Blockchain News), </w:t>
      </w:r>
      <w:hyperlink r:id="rId10">
        <w:r>
          <w:rPr>
            <w:color w:val="0000EE"/>
            <w:u w:val="single"/>
          </w:rPr>
          <w:t>[2]</w:t>
        </w:r>
      </w:hyperlink>
      <w:r>
        <w:t xml:space="preserve"> (TechRadar) </w:t>
      </w:r>
      <w:r/>
    </w:p>
    <w:p>
      <w:pPr>
        <w:pStyle w:val="ListBullet"/>
        <w:spacing w:line="240" w:lineRule="auto"/>
        <w:ind w:left="720"/>
      </w:pPr>
      <w:r/>
      <w:r>
        <w:t xml:space="preserve">Paragraph 3 – </w:t>
      </w:r>
      <w:hyperlink r:id="rId9">
        <w:r>
          <w:rPr>
            <w:color w:val="0000EE"/>
            <w:u w:val="single"/>
          </w:rPr>
          <w:t>[1]</w:t>
        </w:r>
      </w:hyperlink>
      <w:hyperlink r:id="rId9">
        <w:r>
          <w:rPr>
            <w:color w:val="0000EE"/>
            <w:u w:val="single"/>
          </w:rPr>
          <w:t>[6]</w:t>
        </w:r>
      </w:hyperlink>
      <w:r>
        <w:t xml:space="preserve"> (Blockchain News), </w:t>
      </w:r>
      <w:hyperlink r:id="rId11">
        <w:r>
          <w:rPr>
            <w:color w:val="0000EE"/>
            <w:u w:val="single"/>
          </w:rPr>
          <w:t>[3]</w:t>
        </w:r>
      </w:hyperlink>
      <w:r>
        <w:t xml:space="preserve"> (TechRadar) </w:t>
      </w:r>
      <w:r/>
    </w:p>
    <w:p>
      <w:pPr>
        <w:pStyle w:val="ListBullet"/>
        <w:spacing w:line="240" w:lineRule="auto"/>
        <w:ind w:left="720"/>
      </w:pPr>
      <w:r/>
      <w:r>
        <w:t xml:space="preserve">Paragraph 4 – </w:t>
      </w:r>
      <w:hyperlink r:id="rId10">
        <w:r>
          <w:rPr>
            <w:color w:val="0000EE"/>
            <w:u w:val="single"/>
          </w:rPr>
          <w:t>[2]</w:t>
        </w:r>
      </w:hyperlink>
      <w:r>
        <w:t xml:space="preserve"> (TechRadar), </w:t>
      </w:r>
      <w:hyperlink r:id="rId12">
        <w:r>
          <w:rPr>
            <w:color w:val="0000EE"/>
            <w:u w:val="single"/>
          </w:rPr>
          <w:t>[4]</w:t>
        </w:r>
      </w:hyperlink>
      <w:r>
        <w:t xml:space="preserve"> (TechRadar), </w:t>
      </w:r>
      <w:hyperlink r:id="rId9">
        <w:r>
          <w:rPr>
            <w:color w:val="0000EE"/>
            <w:u w:val="single"/>
          </w:rPr>
          <w:t>[6]</w:t>
        </w:r>
      </w:hyperlink>
      <w:r>
        <w:t xml:space="preserve"> (Blockchain News) </w:t>
      </w:r>
      <w:r/>
    </w:p>
    <w:p>
      <w:pPr>
        <w:pStyle w:val="ListBullet"/>
        <w:spacing w:line="240" w:lineRule="auto"/>
        <w:ind w:left="720"/>
      </w:pPr>
      <w:r/>
      <w:r>
        <w:t xml:space="preserve">Paragraph 5 – </w:t>
      </w:r>
      <w:hyperlink r:id="rId9">
        <w:r>
          <w:rPr>
            <w:color w:val="0000EE"/>
            <w:u w:val="single"/>
          </w:rPr>
          <w:t>[1]</w:t>
        </w:r>
      </w:hyperlink>
      <w:hyperlink r:id="rId9">
        <w:r>
          <w:rPr>
            <w:color w:val="0000EE"/>
            <w:u w:val="single"/>
          </w:rPr>
          <w:t>[6]</w:t>
        </w:r>
      </w:hyperlink>
      <w:r>
        <w:t xml:space="preserve"> (Blockchain News), </w:t>
      </w:r>
      <w:hyperlink r:id="rId13">
        <w:r>
          <w:rPr>
            <w:color w:val="0000EE"/>
            <w:u w:val="single"/>
          </w:rPr>
          <w:t>[5]</w:t>
        </w:r>
      </w:hyperlink>
      <w:r>
        <w:t xml:space="preserve"> (Time) </w:t>
      </w:r>
      <w:r/>
    </w:p>
    <w:p>
      <w:pPr>
        <w:pStyle w:val="ListBullet"/>
        <w:spacing w:line="240" w:lineRule="auto"/>
        <w:ind w:left="720"/>
      </w:pPr>
      <w:r/>
      <w:r>
        <w:t xml:space="preserve">Paragraph 6 – </w:t>
      </w:r>
      <w:hyperlink r:id="rId9">
        <w:r>
          <w:rPr>
            <w:color w:val="0000EE"/>
            <w:u w:val="single"/>
          </w:rPr>
          <w:t>[1]</w:t>
        </w:r>
      </w:hyperlink>
      <w:hyperlink r:id="rId9">
        <w:r>
          <w:rPr>
            <w:color w:val="0000EE"/>
            <w:u w:val="single"/>
          </w:rPr>
          <w:t>[6]</w:t>
        </w:r>
      </w:hyperlink>
      <w:r>
        <w:t xml:space="preserve"> (Blockchain News), </w:t>
      </w:r>
      <w:hyperlink r:id="rId10">
        <w:r>
          <w:rPr>
            <w:color w:val="0000EE"/>
            <w:u w:val="single"/>
          </w:rPr>
          <w:t>[2]</w:t>
        </w:r>
      </w:hyperlink>
      <w:r>
        <w:t xml:space="preserve"> (TechRadar), </w:t>
      </w:r>
      <w:hyperlink r:id="rId12">
        <w:r>
          <w:rPr>
            <w:color w:val="0000EE"/>
            <w:u w:val="single"/>
          </w:rPr>
          <w:t>[4]</w:t>
        </w:r>
      </w:hyperlink>
      <w:r>
        <w:t xml:space="preserve"> (TechRadar)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https://blockchain.news/ainews/what-is-an-llm</w:t>
        </w:r>
      </w:hyperlink>
      <w:r>
        <w:t xml:space="preserve"> - Please view link - unable to able to access data</w:t>
      </w:r>
      <w:r/>
    </w:p>
    <w:p>
      <w:pPr>
        <w:pStyle w:val="ListNumber"/>
        <w:spacing w:line="240" w:lineRule="auto"/>
        <w:ind w:left="720"/>
      </w:pPr>
      <w:r/>
      <w:hyperlink r:id="rId10">
        <w:r>
          <w:rPr>
            <w:color w:val="0000EE"/>
            <w:u w:val="single"/>
          </w:rPr>
          <w:t>https://www.techradar.com/computing/artificial-intelligence/best-llms</w:t>
        </w:r>
      </w:hyperlink>
      <w:r>
        <w:t xml:space="preserve"> - This comprehensive 2025 guide reviews the top Large Language Models (LLMs) across various categories, evaluating their capabilities, cost-efficiency, accessibility, and ideal use cases. OpenAI’s GPT series remains the best overall, especially the latest GPT-4o, which enhances intelligence while reducing latency and cost. It also includes multimodal features (text, image, audio) with real-time capabilities, making it the top choice for versatility. GitHub Copilot, built on GPT-4, is identified as the best LLM for coding, offering rich integration with IDEs and strong code generation and assistance tools. Meta’s Llama 3 is highlighted for its cost-efficiency and open-source nature. While slightly less capable than GPT-4o, it offers impressive performance at a drastically lower cost and can be run locally. Claude 3 by Anthropic is deemed best for business use due to its large 200,000-token context window and intelligent reasoning in complex tasks, although it comes with a higher cost. Alibaba’s Qwen-1.5 stands out in chatbot deployment, particularly in multilingual and customer service scenarios, due to its strong language support, customizable sizes, and open-source access. Google’s Gemini 1.5 is preferred for translation tasks, combining Google Translate data and LLM capabilities for fluent and context-aware translations at a low cost per token. The guide also explains key concepts such as token and rate limits, running open-source models locally, and evaluating cost versus performance based on individual needs.</w:t>
      </w:r>
      <w:r/>
    </w:p>
    <w:p>
      <w:pPr>
        <w:pStyle w:val="ListNumber"/>
        <w:spacing w:line="240" w:lineRule="auto"/>
        <w:ind w:left="720"/>
      </w:pPr>
      <w:r/>
      <w:hyperlink r:id="rId11">
        <w:r>
          <w:rPr>
            <w:color w:val="0000EE"/>
            <w:u w:val="single"/>
          </w:rPr>
          <w:t>https://www.techradar.com/pro/software-services/students-here-are-5-key-things-to-know-when-learning-how-to-train-large-language-models</w:t>
        </w:r>
      </w:hyperlink>
      <w:r>
        <w:t xml:space="preserve"> - This guide outlines five critical considerations for students learning to train large language models (LLMs). First, it emphasizes the importance of thorough data preparation, including cleaning and structuring datasets for efficient training. Second, students must select the appropriate model architecture—encoder-decoder, encoder-only, or decoder-only—based on computing resources and model objectives. Third, effective training methods, such as pruning, knowledge distillation, and using specialized AI hardware like Nvidia's H100, are key to maximizing model performance while minimizing costs. Fourth, security is vital to prevent data misuse and breaches. Students should anonymize personal information, use encrypted platforms, enable two-factor authentication, and conduct simulated attacks to identify vulnerabilities. Lastly, continuous monitoring of model performance using benchmarks like accuracy and energy consumption ensures the LLM remains reliable over time. This comprehensive approach helps students develop efficient and secure LLMs with limited resources, preparing them for AI-related careers.</w:t>
      </w:r>
      <w:r/>
    </w:p>
    <w:p>
      <w:pPr>
        <w:pStyle w:val="ListNumber"/>
        <w:spacing w:line="240" w:lineRule="auto"/>
        <w:ind w:left="720"/>
      </w:pPr>
      <w:r/>
      <w:hyperlink r:id="rId12">
        <w:r>
          <w:rPr>
            <w:color w:val="0000EE"/>
            <w:u w:val="single"/>
          </w:rPr>
          <w:t>https://www.techradar.com/pro/small-models-big-wins-four-reasons-enterprises-are-choosing-slms-over-llms</w:t>
        </w:r>
      </w:hyperlink>
      <w:r>
        <w:t xml:space="preserve"> - As enterprises increasingly adopt generative AI, many are shifting focus from Large Language Models (LLMs) to Small Language Models (SLMs) to address business-specific challenges more effectively. A McKinsey survey reveals near three-quarters of organizations now use AI, but issues such as model explainability and data control still hinder adoption. SLMs present compelling advantages: 1. Efficiency: With fewer parameters and industry-specific training, SLMs provide focused, reliable functionalities in fields like law, finance, and healthcare. 2. Accuracy: Domain-specific training reduces hallucinations and improves contextual understanding—critical in regulated industries. 3. Cost-effectiveness: SLMs can operate on low-cost, consumer-grade hardware, decreasing the infrastructure burden significantly. 4. Privacy and control: Enterprises retain data sovereignty, allowing for better compliance with privacy laws and tailored model tuning. While SLMs don't replace LLMs completely, a hybrid approach—leveraging both—can balance precision and scalability. This modular AI strategy is paving the way for more intelligent and customized enterprise AI ecosystems.</w:t>
      </w:r>
      <w:r/>
    </w:p>
    <w:p>
      <w:pPr>
        <w:pStyle w:val="ListNumber"/>
        <w:spacing w:line="240" w:lineRule="auto"/>
        <w:ind w:left="720"/>
      </w:pPr>
      <w:r/>
      <w:hyperlink r:id="rId13">
        <w:r>
          <w:rPr>
            <w:color w:val="0000EE"/>
            <w:u w:val="single"/>
          </w:rPr>
          <w:t>https://time.com/6271657/a-to-z-of-artificial-intelligence/</w:t>
        </w:r>
      </w:hyperlink>
      <w:r>
        <w:t xml:space="preserve"> - AI is becoming increasingly significant in our world, with implications for jobs, politics, and safety. AI research involves complex jargon and concepts, but understanding them is crucial for public engagement in discussions about its impact. The document provides a comprehensive glossary, explaining terms related to artificial intelligence, including concepts like AGI (Artificial General Intelligence), alignment problems, automation, biases, chatbots, and competitive pressures. It also covers technical elements like neural networks, data requirements, compute power, and the differences between supervised, unsupervised, and reinforcement learning. The document discusses societal considerations such as regulation, redistribution of AI profits, lobbying, and the potential existential risks posed by advanced AI systems. The glossary aims to make AI terminology accessible to both beginners and those familiar with the field, enhancing public understanding of AI's power, promises, and perils.</w:t>
      </w:r>
      <w:r/>
    </w:p>
    <w:p>
      <w:pPr>
        <w:pStyle w:val="ListNumber"/>
        <w:spacing w:line="240" w:lineRule="auto"/>
        <w:ind w:left="720"/>
      </w:pPr>
      <w:r/>
      <w:hyperlink r:id="rId9">
        <w:r>
          <w:rPr>
            <w:color w:val="0000EE"/>
            <w:u w:val="single"/>
          </w:rPr>
          <w:t>https://blockchain.news/ainews/what-is-an-llm</w:t>
        </w:r>
      </w:hyperlink>
      <w:r>
        <w:t xml:space="preserve"> - Understanding what an LLM is through visualizations has become a key trend in artificial intelligence education and application, especially as large language models continue to dominate the AI landscape. Large language models, or LLMs, are advanced AI systems trained on vast datasets to generate human-like text, answer questions, and perform tasks like translation or summarization. A recent visualization shared on social media, dated October 28, 2025, from the God of Prompt account, illustrates the inner workings of an LLM in a simplified manner, breaking down complex concepts into digestible graphics. This aligns with broader industry efforts to demystify AI technologies for non-experts. For instance, according to a report by McKinsey &amp; Company published in June 2023, LLMs have transformed natural language processing, enabling applications in customer service, content creation, and data analysis across sectors. The visualization likely depicts core components such as tokenization, where input text is broken into smaller units, followed by embedding layers that convert these tokens into numerical vectors, and transformer architectures that process sequences through attention mechanisms. This educational approach is crucial in an industry where, as per Statista data from 2024, the global AI market is projected to reach $184 billion by 2025, driven largely by LLM advancements. In the context of AI development, visualizations help bridge the gap between theoretical models and practical understanding, fostering innovation in fields like healthcare and finance. For example, a study from Gartner in 2023 highlighted that by 2025, 30% of enterprises will use generative AI like LLMs for decision-making, emphasizing the need for clear explanatory tools. These visuals often include flowcharts showing data flow from training phases, involving massive datasets like Common Crawl, to inference stages where models generate outputs. Industry context reveals that companies like Google and OpenAI have released similar educational resources; OpenAI's 2022 explainer on GPT models, for instance, used diagrams to show how parameters—numbering in the billions—contribute to model intelligence. This trend is part of a larger movement toward AI literacy, with organizations investing in tools to visualize neural networks, reducing barriers to entry for developers and businesses alike. As AI evolves, such visualizations are not just educational but also strategic, helping stakeholders grasp scalability issues, such as the computational demands of training LLMs, which according to a 2023 paper from the AI Index by Stanford University, can require energy equivalent to thousands of households annually. From a business perspective, visualizing LLMs opens up significant market opportunities and monetization strategies. Enterprises can leverage these models for enhanced productivity, with McKinsey estimating in their 2023 report that generative AI could add $2.6 trillion to $4.4 trillion annually to the global economy by 2030, primarily through LLMs. Businesses in e-commerce, for example, use LLMs for personalized recommendations, as seen in Amazon's implementations since 2022, boosting sales by up to 35% according to their internal metrics. Market analysis shows a competitive landscape dominated by key players like Microsoft, which integrated LLMs into Azure services in 2023, capturing a 25% share of the cloud AI market per IDC data from 2024. Monetization strategies include subscription models for API access, as with Anthropic's Claude launched in 2023, generating revenue through tiered pricing. Implementation challenges involve data privacy and integration costs; a Deloitte survey from early 2024 found that 40% of companies face hurdles in scaling LLMs due to regulatory compliance under frameworks like the EU AI Act proposed in 2021 and effective from 2024. Solutions include adopting federated learning techniques to train models without centralizing sensitive data, as discussed in a 2023 IBM whitepaper. Ethical implications are critical, with best practices recommending bias audits, as per guidelines from the Partnership on AI established in 2016. Future predictions suggest that by 2026, LLMs will evolve into multimodal systems handling text, images, and audio, creating opportunities in media and entertainment, potentially disrupting markets worth $500 billion according to PwC's 2024 Global Entertainment and Media Outlook. Regulatory considerations, such as the U.S. Executive Order on AI from October 2023, emphasize safe deployment, urging businesses to invest in compliance tools. On the technical side, LLMs rely on transformer architectures introduced in the 2017 paper 'Attention Is All You Need' by Vaswani et al., which enable efficient parallel processing of sequences. Implementation considerations include fine-tuning pre-trained models like Meta's Llama series released in 2023, which reduces training time from months to days on consumer hardware. Challenges arise in handling hallucinations—incorrect outputs—with solutions like retrieval-augmented generation (RAG) integrating external knowledge bases, as pioneered by researchers at Facebook AI in 2020. Future outlook points to efficiency improvements, with techniques like quantization cutting model size by 75% without significant performance loss, per a Hugging Face blog post from 2024. Competitive landscape features open-source initiatives, such as EleutherAI's GPT-J from 2021, democratizing access and fostering innovation. Ethical best practices involve transparency in model cards, as advocated by Google in their 2022 Responsible AI Practices. Predictions for 2025 include widespread adoption of edge LLMs on devices, enabling real-time applications in IoT, with market growth to $50 billion by 2027 according to MarketsandMarkets data from 2023. Specific data points underscore this: NVIDIA reported in Q2 2024 earnings that AI chip demand surged 150% year-over-year, supporting LLM training. Overall, these developments highlight practical business implementations, from automating legal document review—saving firms 20-30% in costs per a Thomson Reuters study from 2023—to predictive analytics in supply chains.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what-is-an-llm" TargetMode="External"/><Relationship Id="rId10" Type="http://schemas.openxmlformats.org/officeDocument/2006/relationships/hyperlink" Target="https://www.techradar.com/computing/artificial-intelligence/best-llms" TargetMode="External"/><Relationship Id="rId11" Type="http://schemas.openxmlformats.org/officeDocument/2006/relationships/hyperlink" Target="https://www.techradar.com/pro/software-services/students-here-are-5-key-things-to-know-when-learning-how-to-train-large-language-models" TargetMode="External"/><Relationship Id="rId12" Type="http://schemas.openxmlformats.org/officeDocument/2006/relationships/hyperlink" Target="https://www.techradar.com/pro/small-models-big-wins-four-reasons-enterprises-are-choosing-slms-over-llms" TargetMode="External"/><Relationship Id="rId13" Type="http://schemas.openxmlformats.org/officeDocument/2006/relationships/hyperlink" Target="https://time.com/6271657/a-to-z-of-artificial-intelligenc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